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94" w:rsidRDefault="00C203A4" w:rsidP="00C203A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Львова Н.А., Воронова Н.С.</w:t>
      </w:r>
    </w:p>
    <w:p w:rsidR="00C203A4" w:rsidRPr="00C203A4" w:rsidRDefault="00847E26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03A4">
        <w:rPr>
          <w:rFonts w:ascii="Times New Roman" w:hAnsi="Times New Roman" w:cs="Times New Roman"/>
          <w:b/>
          <w:sz w:val="32"/>
          <w:szCs w:val="28"/>
        </w:rPr>
        <w:t>К ВОПРОСУ О СОЦИАЛЬНО-ЭКОНОМИЧЕСКОМ ЗНАЧЕНИИ УСТОЙЧИВОГО РАЗВИТИЯ ФИНАНСОВОГО РЫНКА ЕАЭС</w:t>
      </w:r>
    </w:p>
    <w:p w:rsidR="003C16AA" w:rsidRDefault="00576E37" w:rsidP="003C16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3C16AA">
        <w:rPr>
          <w:rFonts w:ascii="Times New Roman" w:hAnsi="Times New Roman" w:cs="Times New Roman"/>
          <w:b/>
          <w:sz w:val="28"/>
          <w:szCs w:val="28"/>
        </w:rPr>
        <w:t>.</w:t>
      </w:r>
      <w:r w:rsidR="003C16AA">
        <w:rPr>
          <w:rFonts w:ascii="Times New Roman" w:hAnsi="Times New Roman" w:cs="Times New Roman"/>
          <w:sz w:val="28"/>
          <w:szCs w:val="28"/>
        </w:rPr>
        <w:t xml:space="preserve"> </w:t>
      </w:r>
      <w:r w:rsidR="00867874">
        <w:rPr>
          <w:rFonts w:ascii="Times New Roman" w:hAnsi="Times New Roman" w:cs="Times New Roman"/>
          <w:sz w:val="28"/>
          <w:szCs w:val="28"/>
        </w:rPr>
        <w:t>П</w:t>
      </w:r>
      <w:r w:rsidR="003C16AA">
        <w:rPr>
          <w:rFonts w:ascii="Times New Roman" w:hAnsi="Times New Roman" w:cs="Times New Roman"/>
          <w:sz w:val="28"/>
          <w:szCs w:val="28"/>
        </w:rPr>
        <w:t>остановк</w:t>
      </w:r>
      <w:r w:rsidR="00867874">
        <w:rPr>
          <w:rFonts w:ascii="Times New Roman" w:hAnsi="Times New Roman" w:cs="Times New Roman"/>
          <w:sz w:val="28"/>
          <w:szCs w:val="28"/>
        </w:rPr>
        <w:t>а</w:t>
      </w:r>
      <w:r w:rsidR="003C16AA">
        <w:rPr>
          <w:rFonts w:ascii="Times New Roman" w:hAnsi="Times New Roman" w:cs="Times New Roman"/>
          <w:sz w:val="28"/>
          <w:szCs w:val="28"/>
        </w:rPr>
        <w:t xml:space="preserve"> вопроса о социально-экономическом значении устойчивого развития общего финансового рынка </w:t>
      </w:r>
      <w:r w:rsidR="00867874">
        <w:rPr>
          <w:rFonts w:ascii="Times New Roman" w:hAnsi="Times New Roman" w:cs="Times New Roman"/>
          <w:sz w:val="28"/>
          <w:szCs w:val="28"/>
        </w:rPr>
        <w:t>обусловлена</w:t>
      </w:r>
      <w:r w:rsidR="003C16AA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867874">
        <w:rPr>
          <w:rFonts w:ascii="Times New Roman" w:hAnsi="Times New Roman" w:cs="Times New Roman"/>
          <w:sz w:val="28"/>
          <w:szCs w:val="28"/>
        </w:rPr>
        <w:t xml:space="preserve">и условиями </w:t>
      </w:r>
      <w:r w:rsidR="003C16AA">
        <w:rPr>
          <w:rFonts w:ascii="Times New Roman" w:hAnsi="Times New Roman" w:cs="Times New Roman"/>
          <w:sz w:val="28"/>
          <w:szCs w:val="28"/>
        </w:rPr>
        <w:t>финансовой интеграции</w:t>
      </w:r>
      <w:r w:rsidR="003C16AA" w:rsidRPr="003C16AA">
        <w:rPr>
          <w:rFonts w:ascii="Times New Roman" w:hAnsi="Times New Roman" w:cs="Times New Roman"/>
          <w:sz w:val="28"/>
          <w:szCs w:val="28"/>
        </w:rPr>
        <w:t xml:space="preserve"> </w:t>
      </w:r>
      <w:r w:rsidR="003C16AA">
        <w:rPr>
          <w:rFonts w:ascii="Times New Roman" w:hAnsi="Times New Roman" w:cs="Times New Roman"/>
          <w:sz w:val="28"/>
          <w:szCs w:val="28"/>
        </w:rPr>
        <w:t xml:space="preserve">ЕАЭС. Уровень финансового развития стран Союза характеризуется значительными диспропорциями, а финансовая конъюнктура складывается не лучшим образом. В этих условиях необходим поиск новых драйверов финансового развития. Такими драйверами могут стать финансовые решения, апеллирующие к целям устойчивого развития и, следовательно, имеющие особое социально-экономическое значение в современном обществе. Главные предпосылки к внедрению модели устойчивого развития финансового рынка складываются с учетом </w:t>
      </w:r>
      <w:r w:rsidR="003C16AA" w:rsidRPr="00EB4577">
        <w:rPr>
          <w:rFonts w:ascii="Times New Roman" w:hAnsi="Times New Roman" w:cs="Times New Roman"/>
          <w:sz w:val="28"/>
          <w:szCs w:val="28"/>
        </w:rPr>
        <w:t>специфики современного этапа развития устойчивых финансов</w:t>
      </w:r>
      <w:r w:rsidR="003C16AA">
        <w:rPr>
          <w:rFonts w:ascii="Times New Roman" w:hAnsi="Times New Roman" w:cs="Times New Roman"/>
          <w:sz w:val="28"/>
          <w:szCs w:val="28"/>
        </w:rPr>
        <w:t>, экономических и финансовых особенностей стран Союза. Особую роль в устойчивом развитии общего финансового рынка ЕАЭС должны играть банки развития.</w:t>
      </w:r>
    </w:p>
    <w:p w:rsidR="00576E37" w:rsidRPr="00E34488" w:rsidRDefault="00576E3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867874" w:rsidRPr="0086787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867874" w:rsidRPr="008678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FB6">
        <w:rPr>
          <w:rFonts w:ascii="Times New Roman" w:hAnsi="Times New Roman" w:cs="Times New Roman"/>
          <w:sz w:val="28"/>
          <w:szCs w:val="28"/>
          <w:lang w:val="en-US"/>
        </w:rPr>
        <w:t>Asking</w:t>
      </w:r>
      <w:r w:rsidR="00867874" w:rsidRPr="00867874">
        <w:rPr>
          <w:rFonts w:ascii="Times New Roman" w:hAnsi="Times New Roman" w:cs="Times New Roman"/>
          <w:sz w:val="28"/>
          <w:szCs w:val="28"/>
          <w:lang w:val="en-US"/>
        </w:rPr>
        <w:t xml:space="preserve"> the socio-economic importance of the common financial market</w:t>
      </w:r>
      <w:r w:rsidR="00167FB6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867874" w:rsidRPr="00867874">
        <w:rPr>
          <w:rFonts w:ascii="Times New Roman" w:hAnsi="Times New Roman" w:cs="Times New Roman"/>
          <w:sz w:val="28"/>
          <w:szCs w:val="28"/>
          <w:lang w:val="en-US"/>
        </w:rPr>
        <w:t xml:space="preserve"> sustainable development is determined by the goals and conditions of the EAU financial integration.</w:t>
      </w:r>
      <w:r w:rsidR="00867874" w:rsidRPr="00867874">
        <w:rPr>
          <w:rFonts w:ascii="Arial" w:hAnsi="Arial" w:cs="Arial"/>
          <w:color w:val="333333"/>
          <w:sz w:val="27"/>
          <w:szCs w:val="27"/>
          <w:lang w:val="en-US"/>
        </w:rPr>
        <w:t xml:space="preserve"> </w:t>
      </w:r>
      <w:r w:rsidR="00867874" w:rsidRPr="00867874">
        <w:rPr>
          <w:rFonts w:ascii="Times New Roman" w:hAnsi="Times New Roman" w:cs="Times New Roman"/>
          <w:sz w:val="28"/>
          <w:szCs w:val="28"/>
          <w:lang w:val="en-US"/>
        </w:rPr>
        <w:t xml:space="preserve">The level of the Union countries financial development is characterized by significant imbalances, and the financial situation is not the best. </w:t>
      </w:r>
      <w:r w:rsidR="00E34488">
        <w:rPr>
          <w:rFonts w:ascii="Times New Roman" w:hAnsi="Times New Roman" w:cs="Times New Roman"/>
          <w:sz w:val="28"/>
          <w:szCs w:val="28"/>
          <w:lang w:val="en-US"/>
        </w:rPr>
        <w:t xml:space="preserve">In these 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circumstances, it is necessary to search for new drivers of financial development. </w:t>
      </w:r>
      <w:r w:rsidR="00E34488">
        <w:rPr>
          <w:rFonts w:ascii="Times New Roman" w:hAnsi="Times New Roman" w:cs="Times New Roman"/>
          <w:sz w:val="28"/>
          <w:szCs w:val="28"/>
          <w:lang w:val="en-US"/>
        </w:rPr>
        <w:t xml:space="preserve">Such 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drivers can be financial solutions that appeal to the sustainable development goals and, therefore, have a special socio-economic importance in modern society. The main prerequisites for the implementation of the </w:t>
      </w:r>
      <w:r w:rsidR="00E34488" w:rsidRPr="00E34488">
        <w:rPr>
          <w:rFonts w:ascii="Times New Roman" w:hAnsi="Times New Roman" w:cs="Times New Roman"/>
          <w:sz w:val="28"/>
          <w:szCs w:val="28"/>
          <w:lang w:val="en-US"/>
        </w:rPr>
        <w:t>financial market</w:t>
      </w:r>
      <w:r w:rsidR="00E34488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E34488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sustainable development </w:t>
      </w:r>
      <w:r w:rsidR="00E34488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are formed taking into account the specifics of the current stage of sustainable </w:t>
      </w:r>
      <w:r w:rsidR="00E344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>inance</w:t>
      </w:r>
      <w:r w:rsidR="00E34488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 development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, economic and financial characteristics of the Union countries. Development banks should play a special role in the sustainable development of the </w:t>
      </w:r>
      <w:r w:rsidR="00E34488" w:rsidRPr="00E34488">
        <w:rPr>
          <w:rFonts w:ascii="Times New Roman" w:hAnsi="Times New Roman" w:cs="Times New Roman"/>
          <w:sz w:val="28"/>
          <w:szCs w:val="28"/>
          <w:lang w:val="en-US"/>
        </w:rPr>
        <w:t xml:space="preserve">EAEU </w:t>
      </w:r>
      <w:r w:rsidR="00E34488">
        <w:rPr>
          <w:rFonts w:ascii="Times New Roman" w:hAnsi="Times New Roman" w:cs="Times New Roman"/>
          <w:sz w:val="28"/>
          <w:szCs w:val="28"/>
          <w:lang w:val="en-US"/>
        </w:rPr>
        <w:t>common financial market</w:t>
      </w:r>
      <w:r w:rsidR="00867874" w:rsidRPr="00E344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76E37" w:rsidRPr="00885487" w:rsidRDefault="00576E3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</w:t>
      </w:r>
      <w:r w:rsidR="00885487" w:rsidRPr="0088548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885487" w:rsidRPr="00885487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устойчивые финансы, устойчивое развитие, финансовые рынки, </w:t>
      </w:r>
      <w:proofErr w:type="spellStart"/>
      <w:r w:rsidR="00885487" w:rsidRPr="00885487">
        <w:rPr>
          <w:rFonts w:ascii="Times New Roman" w:hAnsi="Times New Roman"/>
          <w:bCs/>
          <w:sz w:val="28"/>
          <w:szCs w:val="24"/>
          <w:shd w:val="clear" w:color="auto" w:fill="FFFFFF"/>
        </w:rPr>
        <w:t>неоко</w:t>
      </w:r>
      <w:r w:rsidR="00885487">
        <w:rPr>
          <w:rFonts w:ascii="Times New Roman" w:hAnsi="Times New Roman"/>
          <w:bCs/>
          <w:sz w:val="28"/>
          <w:szCs w:val="24"/>
          <w:shd w:val="clear" w:color="auto" w:fill="FFFFFF"/>
        </w:rPr>
        <w:t>нтинентальные</w:t>
      </w:r>
      <w:proofErr w:type="spellEnd"/>
      <w:r w:rsidR="00885487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 </w:t>
      </w:r>
      <w:r w:rsidR="00885487" w:rsidRPr="00885487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финансовые системы, </w:t>
      </w:r>
      <w:r w:rsidR="00885487" w:rsidRPr="00885487">
        <w:rPr>
          <w:rFonts w:ascii="Times New Roman" w:hAnsi="Times New Roman"/>
          <w:sz w:val="28"/>
          <w:szCs w:val="24"/>
        </w:rPr>
        <w:t>инвестиции, евразийская интеграция, ЕАЭС</w:t>
      </w:r>
      <w:r w:rsidR="00885487">
        <w:rPr>
          <w:rFonts w:ascii="Times New Roman" w:hAnsi="Times New Roman"/>
          <w:sz w:val="28"/>
          <w:szCs w:val="24"/>
        </w:rPr>
        <w:t>.</w:t>
      </w:r>
    </w:p>
    <w:p w:rsidR="00576E37" w:rsidRPr="00885487" w:rsidRDefault="00576E3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8854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885487" w:rsidRPr="00885487">
        <w:rPr>
          <w:rFonts w:ascii="Times New Roman" w:hAnsi="Times New Roman"/>
          <w:bCs/>
          <w:sz w:val="28"/>
          <w:szCs w:val="24"/>
          <w:shd w:val="clear" w:color="auto" w:fill="FFFFFF"/>
          <w:lang w:val="en-US"/>
        </w:rPr>
        <w:t xml:space="preserve"> sustainable finance, sustainable development, financial markets, neo-continental financial systems, investments, Eurasian integration, EEU.</w:t>
      </w:r>
    </w:p>
    <w:p w:rsidR="00F27427" w:rsidRPr="00F27427" w:rsidRDefault="00F2742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42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82E0F" w:rsidRDefault="00C203A4" w:rsidP="00E1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постановки вопроса о социально-экономическом значении устойчивого развития </w:t>
      </w:r>
      <w:r w:rsidR="00867874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финансового рынка ЕАЭС предопределена целями и условиями финансовой интеграции</w:t>
      </w:r>
      <w:r w:rsidR="00EB4577">
        <w:rPr>
          <w:rFonts w:ascii="Times New Roman" w:hAnsi="Times New Roman" w:cs="Times New Roman"/>
          <w:sz w:val="28"/>
          <w:szCs w:val="28"/>
        </w:rPr>
        <w:t xml:space="preserve">. В среднесрочной перспективе </w:t>
      </w:r>
      <w:r w:rsidR="00C64F5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EB4577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135AA">
        <w:rPr>
          <w:rFonts w:ascii="Times New Roman" w:hAnsi="Times New Roman" w:cs="Times New Roman"/>
          <w:sz w:val="28"/>
          <w:szCs w:val="28"/>
        </w:rPr>
        <w:t>общий</w:t>
      </w:r>
      <w:r w:rsidR="00EB4577">
        <w:rPr>
          <w:rFonts w:ascii="Times New Roman" w:hAnsi="Times New Roman" w:cs="Times New Roman"/>
          <w:sz w:val="28"/>
          <w:szCs w:val="28"/>
        </w:rPr>
        <w:t xml:space="preserve"> финансовый рынок</w:t>
      </w:r>
      <w:r w:rsidR="00CA0F24">
        <w:rPr>
          <w:rFonts w:ascii="Times New Roman" w:hAnsi="Times New Roman" w:cs="Times New Roman"/>
          <w:sz w:val="28"/>
          <w:szCs w:val="28"/>
        </w:rPr>
        <w:t xml:space="preserve">, но сформированы ли для этого необходимые условия? </w:t>
      </w:r>
      <w:r w:rsidR="00C64F53">
        <w:rPr>
          <w:rFonts w:ascii="Times New Roman" w:hAnsi="Times New Roman" w:cs="Times New Roman"/>
          <w:sz w:val="28"/>
          <w:szCs w:val="28"/>
        </w:rPr>
        <w:t xml:space="preserve">Анализ литературы по исследуемой проблематике показывает, что условия </w:t>
      </w:r>
      <w:r w:rsidR="003B3CE3">
        <w:rPr>
          <w:rFonts w:ascii="Times New Roman" w:hAnsi="Times New Roman" w:cs="Times New Roman"/>
          <w:sz w:val="28"/>
          <w:szCs w:val="28"/>
        </w:rPr>
        <w:t>евразийской</w:t>
      </w:r>
      <w:r w:rsidR="00C64F53">
        <w:rPr>
          <w:rFonts w:ascii="Times New Roman" w:hAnsi="Times New Roman" w:cs="Times New Roman"/>
          <w:sz w:val="28"/>
          <w:szCs w:val="28"/>
        </w:rPr>
        <w:t xml:space="preserve"> финансовой интеграции расцениваются </w:t>
      </w:r>
      <w:r w:rsidR="003B3CE3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C64F53" w:rsidRPr="00384E26">
        <w:rPr>
          <w:rFonts w:ascii="Times New Roman" w:hAnsi="Times New Roman" w:cs="Times New Roman"/>
          <w:sz w:val="28"/>
          <w:szCs w:val="28"/>
        </w:rPr>
        <w:t>сдержанно</w:t>
      </w:r>
      <w:r w:rsidR="009A2AEE" w:rsidRPr="00384E26">
        <w:rPr>
          <w:rFonts w:ascii="Times New Roman" w:hAnsi="Times New Roman" w:cs="Times New Roman"/>
          <w:sz w:val="28"/>
          <w:szCs w:val="28"/>
        </w:rPr>
        <w:t xml:space="preserve"> [</w:t>
      </w:r>
      <w:r w:rsidR="0013614C">
        <w:rPr>
          <w:rFonts w:ascii="Times New Roman" w:hAnsi="Times New Roman" w:cs="Times New Roman"/>
          <w:sz w:val="28"/>
          <w:szCs w:val="28"/>
        </w:rPr>
        <w:t>9</w:t>
      </w:r>
      <w:r w:rsidR="00ED58FB" w:rsidRPr="00384E26">
        <w:rPr>
          <w:rFonts w:ascii="Times New Roman" w:hAnsi="Times New Roman" w:cs="Times New Roman"/>
          <w:sz w:val="28"/>
          <w:szCs w:val="28"/>
        </w:rPr>
        <w:t>;</w:t>
      </w:r>
      <w:r w:rsidR="003B3CE3" w:rsidRP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13614C">
        <w:rPr>
          <w:rFonts w:ascii="Times New Roman" w:hAnsi="Times New Roman" w:cs="Times New Roman"/>
          <w:sz w:val="28"/>
          <w:szCs w:val="28"/>
        </w:rPr>
        <w:t>15</w:t>
      </w:r>
      <w:r w:rsidR="003B3CE3" w:rsidRPr="00384E26">
        <w:rPr>
          <w:rFonts w:ascii="Times New Roman" w:hAnsi="Times New Roman" w:cs="Times New Roman"/>
          <w:sz w:val="28"/>
          <w:szCs w:val="28"/>
        </w:rPr>
        <w:t>;</w:t>
      </w:r>
      <w:r w:rsidR="00384E26" w:rsidRPr="00384E26">
        <w:rPr>
          <w:rFonts w:ascii="Times New Roman" w:hAnsi="Times New Roman" w:cs="Times New Roman"/>
          <w:sz w:val="28"/>
          <w:szCs w:val="28"/>
        </w:rPr>
        <w:t xml:space="preserve"> 1</w:t>
      </w:r>
      <w:r w:rsidR="0013614C">
        <w:rPr>
          <w:rFonts w:ascii="Times New Roman" w:hAnsi="Times New Roman" w:cs="Times New Roman"/>
          <w:sz w:val="28"/>
          <w:szCs w:val="28"/>
        </w:rPr>
        <w:t>1</w:t>
      </w:r>
      <w:r w:rsidR="00ED58FB" w:rsidRP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9A2AEE" w:rsidRPr="00384E26">
        <w:rPr>
          <w:rFonts w:ascii="Times New Roman" w:hAnsi="Times New Roman" w:cs="Times New Roman"/>
          <w:sz w:val="28"/>
          <w:szCs w:val="28"/>
        </w:rPr>
        <w:t>и др.]</w:t>
      </w:r>
      <w:r w:rsidR="00C64F53" w:rsidRPr="00384E26">
        <w:rPr>
          <w:rFonts w:ascii="Times New Roman" w:hAnsi="Times New Roman" w:cs="Times New Roman"/>
          <w:sz w:val="28"/>
          <w:szCs w:val="28"/>
        </w:rPr>
        <w:t xml:space="preserve">. </w:t>
      </w:r>
      <w:r w:rsidR="00A644F2" w:rsidRPr="00384E26">
        <w:rPr>
          <w:rFonts w:ascii="Times New Roman" w:hAnsi="Times New Roman" w:cs="Times New Roman"/>
          <w:sz w:val="28"/>
          <w:szCs w:val="28"/>
        </w:rPr>
        <w:t>Несмотря на призывы к «активному диалогу с бизнесом» [</w:t>
      </w:r>
      <w:r w:rsidR="0013614C">
        <w:rPr>
          <w:rFonts w:ascii="Times New Roman" w:hAnsi="Times New Roman" w:cs="Times New Roman"/>
          <w:sz w:val="28"/>
          <w:szCs w:val="28"/>
        </w:rPr>
        <w:t>5</w:t>
      </w:r>
      <w:r w:rsidR="00A644F2" w:rsidRPr="00384E26">
        <w:rPr>
          <w:rFonts w:ascii="Times New Roman" w:hAnsi="Times New Roman" w:cs="Times New Roman"/>
          <w:sz w:val="28"/>
          <w:szCs w:val="28"/>
        </w:rPr>
        <w:t xml:space="preserve">, с. 21], основное внимание авторов сосредоточено </w:t>
      </w:r>
      <w:r w:rsidR="00384E26">
        <w:rPr>
          <w:rFonts w:ascii="Times New Roman" w:hAnsi="Times New Roman" w:cs="Times New Roman"/>
          <w:sz w:val="28"/>
          <w:szCs w:val="28"/>
        </w:rPr>
        <w:t>н</w:t>
      </w:r>
      <w:r w:rsidR="00C64F53" w:rsidRPr="00384E26">
        <w:rPr>
          <w:rFonts w:ascii="Times New Roman" w:hAnsi="Times New Roman" w:cs="Times New Roman"/>
          <w:sz w:val="28"/>
          <w:szCs w:val="28"/>
        </w:rPr>
        <w:t>а</w:t>
      </w:r>
      <w:r w:rsidR="00C64F53">
        <w:rPr>
          <w:rFonts w:ascii="Times New Roman" w:hAnsi="Times New Roman" w:cs="Times New Roman"/>
          <w:sz w:val="28"/>
          <w:szCs w:val="28"/>
        </w:rPr>
        <w:t xml:space="preserve"> гармонизации </w:t>
      </w:r>
      <w:r w:rsidR="00944B51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C64F5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944B51">
        <w:rPr>
          <w:rFonts w:ascii="Times New Roman" w:hAnsi="Times New Roman" w:cs="Times New Roman"/>
          <w:sz w:val="28"/>
          <w:szCs w:val="28"/>
        </w:rPr>
        <w:t>, а также на региональной</w:t>
      </w:r>
      <w:r w:rsidR="00CD26C6">
        <w:rPr>
          <w:rFonts w:ascii="Times New Roman" w:hAnsi="Times New Roman" w:cs="Times New Roman"/>
          <w:sz w:val="28"/>
          <w:szCs w:val="28"/>
        </w:rPr>
        <w:t xml:space="preserve"> </w:t>
      </w:r>
      <w:r w:rsidR="00935361" w:rsidRPr="00384E26">
        <w:rPr>
          <w:rFonts w:ascii="Times New Roman" w:hAnsi="Times New Roman" w:cs="Times New Roman"/>
          <w:sz w:val="28"/>
          <w:szCs w:val="28"/>
        </w:rPr>
        <w:t xml:space="preserve">координации </w:t>
      </w:r>
      <w:r w:rsidR="00944B51" w:rsidRPr="00384E26">
        <w:rPr>
          <w:rFonts w:ascii="Times New Roman" w:hAnsi="Times New Roman" w:cs="Times New Roman"/>
          <w:sz w:val="28"/>
          <w:szCs w:val="28"/>
        </w:rPr>
        <w:t xml:space="preserve">денежно-кредитной и </w:t>
      </w:r>
      <w:r w:rsidR="00A644F2" w:rsidRPr="00384E26">
        <w:rPr>
          <w:rFonts w:ascii="Times New Roman" w:hAnsi="Times New Roman" w:cs="Times New Roman"/>
          <w:sz w:val="28"/>
          <w:szCs w:val="28"/>
        </w:rPr>
        <w:t>валютно-</w:t>
      </w:r>
      <w:r w:rsidR="00CD26C6" w:rsidRPr="00384E26">
        <w:rPr>
          <w:rFonts w:ascii="Times New Roman" w:hAnsi="Times New Roman" w:cs="Times New Roman"/>
          <w:sz w:val="28"/>
          <w:szCs w:val="28"/>
        </w:rPr>
        <w:t>финансовой политики [</w:t>
      </w:r>
      <w:r w:rsidR="0013614C">
        <w:rPr>
          <w:rFonts w:ascii="Times New Roman" w:hAnsi="Times New Roman" w:cs="Times New Roman"/>
          <w:sz w:val="28"/>
          <w:szCs w:val="28"/>
        </w:rPr>
        <w:t>14</w:t>
      </w:r>
      <w:r w:rsidR="004C12A0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384E26" w:rsidRP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1</w:t>
      </w:r>
      <w:r w:rsidR="00944B51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384E26" w:rsidRPr="00384E26">
        <w:rPr>
          <w:rFonts w:ascii="Times New Roman" w:hAnsi="Times New Roman" w:cs="Times New Roman"/>
          <w:sz w:val="28"/>
          <w:szCs w:val="28"/>
        </w:rPr>
        <w:t>1</w:t>
      </w:r>
      <w:r w:rsidR="00944B51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13614C">
        <w:rPr>
          <w:rFonts w:ascii="Times New Roman" w:hAnsi="Times New Roman" w:cs="Times New Roman"/>
          <w:sz w:val="28"/>
          <w:szCs w:val="28"/>
        </w:rPr>
        <w:t>8</w:t>
      </w:r>
      <w:r w:rsidR="00944B51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13614C">
        <w:rPr>
          <w:rFonts w:ascii="Times New Roman" w:hAnsi="Times New Roman" w:cs="Times New Roman"/>
          <w:sz w:val="28"/>
          <w:szCs w:val="28"/>
        </w:rPr>
        <w:t>9</w:t>
      </w:r>
      <w:r w:rsidR="00944B51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384E26" w:rsidRP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6</w:t>
      </w:r>
      <w:r w:rsidR="00384E26" w:rsidRP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944B51" w:rsidRPr="00384E26">
        <w:rPr>
          <w:rFonts w:ascii="Times New Roman" w:hAnsi="Times New Roman" w:cs="Times New Roman"/>
          <w:sz w:val="28"/>
          <w:szCs w:val="28"/>
        </w:rPr>
        <w:t>и др.</w:t>
      </w:r>
      <w:r w:rsidR="00CD26C6" w:rsidRPr="00384E26">
        <w:rPr>
          <w:rFonts w:ascii="Times New Roman" w:hAnsi="Times New Roman" w:cs="Times New Roman"/>
          <w:sz w:val="28"/>
          <w:szCs w:val="28"/>
        </w:rPr>
        <w:t>]</w:t>
      </w:r>
      <w:r w:rsidR="00944B51" w:rsidRPr="00384E26">
        <w:rPr>
          <w:rFonts w:ascii="Times New Roman" w:hAnsi="Times New Roman" w:cs="Times New Roman"/>
          <w:sz w:val="28"/>
          <w:szCs w:val="28"/>
        </w:rPr>
        <w:t>. В частности, п</w:t>
      </w:r>
      <w:r w:rsidR="00305D7A" w:rsidRPr="00384E26">
        <w:rPr>
          <w:rFonts w:ascii="Times New Roman" w:hAnsi="Times New Roman" w:cs="Times New Roman"/>
          <w:sz w:val="28"/>
          <w:szCs w:val="28"/>
        </w:rPr>
        <w:t>рисутствует мнение, что финансовой интеграции будет</w:t>
      </w:r>
      <w:r w:rsidR="00305D7A">
        <w:rPr>
          <w:rFonts w:ascii="Times New Roman" w:hAnsi="Times New Roman" w:cs="Times New Roman"/>
          <w:sz w:val="28"/>
          <w:szCs w:val="28"/>
        </w:rPr>
        <w:t xml:space="preserve"> способствовать формализация </w:t>
      </w:r>
      <w:r w:rsidR="004C12A0">
        <w:rPr>
          <w:rFonts w:ascii="Times New Roman" w:hAnsi="Times New Roman" w:cs="Times New Roman"/>
          <w:sz w:val="28"/>
          <w:szCs w:val="28"/>
        </w:rPr>
        <w:t xml:space="preserve">валютно-финансовой </w:t>
      </w:r>
      <w:r w:rsidR="00305D7A">
        <w:rPr>
          <w:rFonts w:ascii="Times New Roman" w:hAnsi="Times New Roman" w:cs="Times New Roman"/>
          <w:sz w:val="28"/>
          <w:szCs w:val="28"/>
        </w:rPr>
        <w:t xml:space="preserve">конвергенции, которая отчасти должна приобрести обязательный характер </w:t>
      </w:r>
      <w:r w:rsidR="00305D7A" w:rsidRPr="00305D7A">
        <w:rPr>
          <w:rFonts w:ascii="Times New Roman" w:hAnsi="Times New Roman" w:cs="Times New Roman"/>
          <w:sz w:val="28"/>
          <w:szCs w:val="28"/>
        </w:rPr>
        <w:t>[</w:t>
      </w:r>
      <w:r w:rsidR="0013614C">
        <w:rPr>
          <w:rFonts w:ascii="Times New Roman" w:hAnsi="Times New Roman" w:cs="Times New Roman"/>
          <w:sz w:val="28"/>
          <w:szCs w:val="28"/>
        </w:rPr>
        <w:t>8</w:t>
      </w:r>
      <w:r w:rsidR="00305D7A">
        <w:rPr>
          <w:rFonts w:ascii="Times New Roman" w:hAnsi="Times New Roman" w:cs="Times New Roman"/>
          <w:sz w:val="28"/>
          <w:szCs w:val="28"/>
        </w:rPr>
        <w:t>, с. 10</w:t>
      </w:r>
      <w:r w:rsidR="00305D7A" w:rsidRPr="00305D7A">
        <w:rPr>
          <w:rFonts w:ascii="Times New Roman" w:hAnsi="Times New Roman" w:cs="Times New Roman"/>
          <w:sz w:val="28"/>
          <w:szCs w:val="28"/>
        </w:rPr>
        <w:t>]</w:t>
      </w:r>
      <w:r w:rsidR="00305D7A">
        <w:rPr>
          <w:rFonts w:ascii="Times New Roman" w:hAnsi="Times New Roman" w:cs="Times New Roman"/>
          <w:sz w:val="28"/>
          <w:szCs w:val="28"/>
        </w:rPr>
        <w:t>.</w:t>
      </w:r>
    </w:p>
    <w:p w:rsidR="00E1331F" w:rsidRPr="00CA0F24" w:rsidRDefault="00944B51" w:rsidP="00E1331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Очевидно, что подобный тренд научных исследований задан характером интеграционных процессов, которые настраиваются «сверху» [</w:t>
      </w:r>
      <w:r w:rsidR="00384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 8</w:t>
      </w:r>
      <w:r w:rsidRPr="00E125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F53">
        <w:rPr>
          <w:rFonts w:ascii="Times New Roman" w:hAnsi="Times New Roman" w:cs="Times New Roman"/>
          <w:sz w:val="28"/>
          <w:szCs w:val="28"/>
        </w:rPr>
        <w:t>Однако</w:t>
      </w:r>
      <w:r w:rsidR="00CD26C6">
        <w:rPr>
          <w:rFonts w:ascii="Times New Roman" w:hAnsi="Times New Roman" w:cs="Times New Roman"/>
          <w:sz w:val="28"/>
          <w:szCs w:val="28"/>
        </w:rPr>
        <w:t xml:space="preserve"> </w:t>
      </w:r>
      <w:r w:rsidR="00305D7A">
        <w:rPr>
          <w:rFonts w:ascii="Times New Roman" w:hAnsi="Times New Roman" w:cs="Times New Roman"/>
          <w:sz w:val="28"/>
          <w:szCs w:val="28"/>
        </w:rPr>
        <w:t>являются ли данные предпосылки</w:t>
      </w:r>
      <w:r w:rsidR="00CD26C6">
        <w:rPr>
          <w:rFonts w:ascii="Times New Roman" w:hAnsi="Times New Roman" w:cs="Times New Roman"/>
          <w:sz w:val="28"/>
          <w:szCs w:val="28"/>
        </w:rPr>
        <w:t xml:space="preserve"> </w:t>
      </w:r>
      <w:r w:rsidR="004C12A0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CD26C6">
        <w:rPr>
          <w:rFonts w:ascii="Times New Roman" w:hAnsi="Times New Roman" w:cs="Times New Roman"/>
          <w:sz w:val="28"/>
          <w:szCs w:val="28"/>
        </w:rPr>
        <w:t>приоритетным</w:t>
      </w:r>
      <w:r w:rsidR="00305D7A">
        <w:rPr>
          <w:rFonts w:ascii="Times New Roman" w:hAnsi="Times New Roman" w:cs="Times New Roman"/>
          <w:sz w:val="28"/>
          <w:szCs w:val="28"/>
        </w:rPr>
        <w:t>и</w:t>
      </w:r>
      <w:r w:rsidR="00CD26C6">
        <w:rPr>
          <w:rFonts w:ascii="Times New Roman" w:hAnsi="Times New Roman" w:cs="Times New Roman"/>
          <w:sz w:val="28"/>
          <w:szCs w:val="28"/>
        </w:rPr>
        <w:t xml:space="preserve"> по значимости?</w:t>
      </w:r>
      <w:r w:rsidR="00C64F53">
        <w:rPr>
          <w:rFonts w:ascii="Times New Roman" w:hAnsi="Times New Roman" w:cs="Times New Roman"/>
          <w:sz w:val="28"/>
          <w:szCs w:val="28"/>
        </w:rPr>
        <w:t xml:space="preserve"> </w:t>
      </w:r>
      <w:r w:rsidR="00CD26C6">
        <w:rPr>
          <w:rFonts w:ascii="Times New Roman" w:hAnsi="Times New Roman" w:cs="Times New Roman"/>
          <w:sz w:val="28"/>
          <w:szCs w:val="28"/>
        </w:rPr>
        <w:t>М</w:t>
      </w:r>
      <w:r w:rsidR="00CA0F24">
        <w:rPr>
          <w:rFonts w:ascii="Times New Roman" w:hAnsi="Times New Roman" w:cs="Times New Roman"/>
          <w:sz w:val="28"/>
          <w:szCs w:val="28"/>
        </w:rPr>
        <w:t xml:space="preserve">ожет ли финансовое развитие стран Союза продолжаться по </w:t>
      </w:r>
      <w:proofErr w:type="gramStart"/>
      <w:r w:rsidR="00CA0F24">
        <w:rPr>
          <w:rFonts w:ascii="Times New Roman" w:hAnsi="Times New Roman" w:cs="Times New Roman"/>
          <w:sz w:val="28"/>
          <w:szCs w:val="28"/>
        </w:rPr>
        <w:t>привычному сценарию</w:t>
      </w:r>
      <w:proofErr w:type="gramEnd"/>
      <w:r w:rsidR="00CA0F24">
        <w:rPr>
          <w:rFonts w:ascii="Times New Roman" w:hAnsi="Times New Roman" w:cs="Times New Roman"/>
          <w:sz w:val="28"/>
          <w:szCs w:val="28"/>
        </w:rPr>
        <w:t xml:space="preserve">, демонстрируя эффект колеи, или возможны новые решения, которые коррелируют с </w:t>
      </w:r>
      <w:r w:rsidR="00935361">
        <w:rPr>
          <w:rFonts w:ascii="Times New Roman" w:hAnsi="Times New Roman" w:cs="Times New Roman"/>
          <w:sz w:val="28"/>
          <w:szCs w:val="28"/>
        </w:rPr>
        <w:t xml:space="preserve">мировой повесткой дня и в то же время с </w:t>
      </w:r>
      <w:r w:rsidR="00CA0F24">
        <w:rPr>
          <w:rFonts w:ascii="Times New Roman" w:hAnsi="Times New Roman" w:cs="Times New Roman"/>
          <w:sz w:val="28"/>
          <w:szCs w:val="28"/>
        </w:rPr>
        <w:t>особенностями национальных финансовых систем</w:t>
      </w:r>
      <w:r w:rsidR="00305D7A">
        <w:rPr>
          <w:rFonts w:ascii="Times New Roman" w:hAnsi="Times New Roman" w:cs="Times New Roman"/>
          <w:sz w:val="28"/>
          <w:szCs w:val="28"/>
        </w:rPr>
        <w:t>?</w:t>
      </w:r>
      <w:r w:rsidR="00E82E0F">
        <w:rPr>
          <w:rFonts w:ascii="Times New Roman" w:hAnsi="Times New Roman" w:cs="Times New Roman"/>
          <w:sz w:val="28"/>
          <w:szCs w:val="28"/>
        </w:rPr>
        <w:t xml:space="preserve"> </w:t>
      </w:r>
      <w:r w:rsidR="00CA0F24">
        <w:rPr>
          <w:rFonts w:ascii="Times New Roman" w:hAnsi="Times New Roman" w:cs="Times New Roman"/>
          <w:sz w:val="28"/>
          <w:szCs w:val="28"/>
        </w:rPr>
        <w:t xml:space="preserve">По мнению авторов, такие решения есть, и поиск этих решений </w:t>
      </w:r>
      <w:r w:rsidR="00935361">
        <w:rPr>
          <w:rFonts w:ascii="Times New Roman" w:hAnsi="Times New Roman" w:cs="Times New Roman"/>
          <w:sz w:val="28"/>
          <w:szCs w:val="28"/>
        </w:rPr>
        <w:t xml:space="preserve">предопределен </w:t>
      </w:r>
      <w:r w:rsidR="00E12509">
        <w:rPr>
          <w:rFonts w:ascii="Times New Roman" w:hAnsi="Times New Roman" w:cs="Times New Roman"/>
          <w:sz w:val="28"/>
          <w:szCs w:val="28"/>
        </w:rPr>
        <w:t>целями устойчивого развития.</w:t>
      </w:r>
      <w:r w:rsidR="004C12A0">
        <w:rPr>
          <w:rFonts w:ascii="Times New Roman" w:hAnsi="Times New Roman" w:cs="Times New Roman"/>
          <w:sz w:val="28"/>
          <w:szCs w:val="28"/>
        </w:rPr>
        <w:t xml:space="preserve"> </w:t>
      </w:r>
      <w:r w:rsidR="00E12509">
        <w:rPr>
          <w:rFonts w:ascii="Times New Roman" w:hAnsi="Times New Roman" w:cs="Times New Roman"/>
          <w:sz w:val="28"/>
          <w:szCs w:val="28"/>
        </w:rPr>
        <w:t xml:space="preserve">Таким образом, мы аргументируем целесообразность устойчивого развития финансового рынка ЕАЭС, анализируя его социально-экономическую значимость. В докладе мы обращаемся к трем ключевым вопросам </w:t>
      </w:r>
      <w:r w:rsidR="00E12509">
        <w:rPr>
          <w:rFonts w:ascii="Times New Roman" w:hAnsi="Times New Roman" w:cs="Times New Roman"/>
          <w:sz w:val="28"/>
          <w:szCs w:val="28"/>
        </w:rPr>
        <w:lastRenderedPageBreak/>
        <w:t>проблематики: 1) финансовая конъюнктура в странах Союза; 2) </w:t>
      </w:r>
      <w:r w:rsidR="00E12509" w:rsidRPr="00CA0F24">
        <w:rPr>
          <w:rFonts w:ascii="Times New Roman" w:hAnsi="Times New Roman" w:cs="Times New Roman"/>
          <w:sz w:val="28"/>
          <w:szCs w:val="28"/>
        </w:rPr>
        <w:t xml:space="preserve">предпосылки к внедрению модели устойчивого развития </w:t>
      </w:r>
      <w:r w:rsidR="00E1250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E12509" w:rsidRPr="00CA0F24">
        <w:rPr>
          <w:rFonts w:ascii="Times New Roman" w:hAnsi="Times New Roman" w:cs="Times New Roman"/>
          <w:sz w:val="28"/>
          <w:szCs w:val="28"/>
        </w:rPr>
        <w:t>финансового рынка</w:t>
      </w:r>
      <w:r w:rsidR="00E12509">
        <w:rPr>
          <w:rFonts w:ascii="Times New Roman" w:hAnsi="Times New Roman" w:cs="Times New Roman"/>
          <w:sz w:val="28"/>
          <w:szCs w:val="28"/>
        </w:rPr>
        <w:t xml:space="preserve"> ЕАЭС; 3)</w:t>
      </w:r>
      <w:r w:rsidR="002C2F7E">
        <w:rPr>
          <w:rFonts w:ascii="Times New Roman" w:hAnsi="Times New Roman" w:cs="Times New Roman"/>
          <w:sz w:val="28"/>
          <w:szCs w:val="28"/>
        </w:rPr>
        <w:t> </w:t>
      </w:r>
      <w:r w:rsidR="00E12509" w:rsidRPr="00CA0F24">
        <w:rPr>
          <w:rFonts w:ascii="Times New Roman" w:hAnsi="Times New Roman" w:cs="Times New Roman"/>
          <w:sz w:val="28"/>
          <w:szCs w:val="28"/>
        </w:rPr>
        <w:t xml:space="preserve">значение устойчивого развития </w:t>
      </w:r>
      <w:r w:rsidR="00E1250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E12509" w:rsidRPr="00CA0F24">
        <w:rPr>
          <w:rFonts w:ascii="Times New Roman" w:hAnsi="Times New Roman" w:cs="Times New Roman"/>
          <w:sz w:val="28"/>
          <w:szCs w:val="28"/>
        </w:rPr>
        <w:t xml:space="preserve">рынка в контексте особенностей </w:t>
      </w:r>
      <w:proofErr w:type="spellStart"/>
      <w:r w:rsidR="00E12509" w:rsidRPr="00CA0F24">
        <w:rPr>
          <w:rFonts w:ascii="Times New Roman" w:hAnsi="Times New Roman" w:cs="Times New Roman"/>
          <w:sz w:val="28"/>
          <w:szCs w:val="28"/>
        </w:rPr>
        <w:t>неоконтинентальных</w:t>
      </w:r>
      <w:proofErr w:type="spellEnd"/>
      <w:r w:rsidR="00E12509" w:rsidRPr="00CA0F24">
        <w:rPr>
          <w:rFonts w:ascii="Times New Roman" w:hAnsi="Times New Roman" w:cs="Times New Roman"/>
          <w:sz w:val="28"/>
          <w:szCs w:val="28"/>
        </w:rPr>
        <w:t xml:space="preserve"> финансовых систем.</w:t>
      </w:r>
    </w:p>
    <w:p w:rsidR="00F27427" w:rsidRPr="00F27427" w:rsidRDefault="00F2742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27427">
        <w:rPr>
          <w:rFonts w:ascii="Times New Roman" w:hAnsi="Times New Roman" w:cs="Times New Roman"/>
          <w:b/>
          <w:sz w:val="28"/>
          <w:szCs w:val="28"/>
        </w:rPr>
        <w:t>Финансовая конъюнктура в странах Союза</w:t>
      </w:r>
    </w:p>
    <w:p w:rsidR="00271662" w:rsidRDefault="00E1331F" w:rsidP="00E1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финансового развития стран-участниц ЕАЭС характеризуется значительными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диспропорциями</w:t>
      </w:r>
      <w:proofErr w:type="gramEnd"/>
      <w:r w:rsidR="00C64F53">
        <w:rPr>
          <w:rFonts w:ascii="Times New Roman" w:hAnsi="Times New Roman" w:cs="Times New Roman"/>
          <w:sz w:val="28"/>
          <w:szCs w:val="28"/>
        </w:rPr>
        <w:t xml:space="preserve"> как по странам, так и по сегментам финансовой системы, что </w:t>
      </w:r>
      <w:r w:rsidR="006525C6">
        <w:rPr>
          <w:rFonts w:ascii="Times New Roman" w:hAnsi="Times New Roman" w:cs="Times New Roman"/>
          <w:sz w:val="28"/>
          <w:szCs w:val="28"/>
        </w:rPr>
        <w:t>аргументирует целесообразность</w:t>
      </w:r>
      <w:r w:rsidR="00C64F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64F53">
        <w:rPr>
          <w:rFonts w:ascii="Times New Roman" w:hAnsi="Times New Roman" w:cs="Times New Roman"/>
          <w:sz w:val="28"/>
          <w:szCs w:val="28"/>
        </w:rPr>
        <w:t>разноскоростной</w:t>
      </w:r>
      <w:proofErr w:type="spellEnd"/>
      <w:r w:rsidR="00C64F53">
        <w:rPr>
          <w:rFonts w:ascii="Times New Roman" w:hAnsi="Times New Roman" w:cs="Times New Roman"/>
          <w:sz w:val="28"/>
          <w:szCs w:val="28"/>
        </w:rPr>
        <w:t xml:space="preserve">» финансовой интеграции </w:t>
      </w:r>
      <w:r w:rsidR="00C64F53" w:rsidRPr="00C64F53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1</w:t>
      </w:r>
      <w:r w:rsidR="006525C6">
        <w:rPr>
          <w:rFonts w:ascii="Times New Roman" w:hAnsi="Times New Roman" w:cs="Times New Roman"/>
          <w:sz w:val="28"/>
          <w:szCs w:val="28"/>
        </w:rPr>
        <w:t>, с. 19;</w:t>
      </w:r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13614C">
        <w:rPr>
          <w:rFonts w:ascii="Times New Roman" w:hAnsi="Times New Roman" w:cs="Times New Roman"/>
          <w:sz w:val="28"/>
          <w:szCs w:val="28"/>
        </w:rPr>
        <w:t>9</w:t>
      </w:r>
      <w:r w:rsidR="00C64F53">
        <w:rPr>
          <w:rFonts w:ascii="Times New Roman" w:hAnsi="Times New Roman" w:cs="Times New Roman"/>
          <w:sz w:val="28"/>
          <w:szCs w:val="28"/>
        </w:rPr>
        <w:t>, с. 7</w:t>
      </w:r>
      <w:r w:rsidR="00C64F53" w:rsidRPr="00C64F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4"/>
        </w:rPr>
        <w:t>Преобладающая</w:t>
      </w:r>
      <w:r w:rsidRPr="00D45D86">
        <w:rPr>
          <w:rFonts w:ascii="Times New Roman" w:hAnsi="Times New Roman"/>
          <w:iCs/>
          <w:sz w:val="28"/>
          <w:szCs w:val="24"/>
        </w:rPr>
        <w:t xml:space="preserve"> доля финансовых</w:t>
      </w:r>
      <w:r>
        <w:rPr>
          <w:rFonts w:ascii="Times New Roman" w:hAnsi="Times New Roman"/>
          <w:iCs/>
          <w:sz w:val="28"/>
          <w:szCs w:val="24"/>
        </w:rPr>
        <w:t xml:space="preserve"> активов и финансовых</w:t>
      </w:r>
      <w:r w:rsidRPr="00D45D86">
        <w:rPr>
          <w:rFonts w:ascii="Times New Roman" w:hAnsi="Times New Roman"/>
          <w:iCs/>
          <w:sz w:val="28"/>
          <w:szCs w:val="24"/>
        </w:rPr>
        <w:t xml:space="preserve"> институтов ЕАЭС сосредоточена в Российской</w:t>
      </w:r>
      <w:r>
        <w:rPr>
          <w:rFonts w:ascii="Times New Roman" w:hAnsi="Times New Roman"/>
          <w:iCs/>
          <w:sz w:val="28"/>
          <w:szCs w:val="24"/>
        </w:rPr>
        <w:t xml:space="preserve"> Федерации</w:t>
      </w:r>
      <w:r w:rsidRPr="00D45D86">
        <w:rPr>
          <w:rFonts w:ascii="Times New Roman" w:hAnsi="Times New Roman"/>
          <w:iCs/>
          <w:sz w:val="28"/>
          <w:szCs w:val="24"/>
        </w:rPr>
        <w:t xml:space="preserve">. </w:t>
      </w:r>
      <w:r w:rsidR="008053B3">
        <w:rPr>
          <w:rFonts w:ascii="Times New Roman" w:hAnsi="Times New Roman"/>
          <w:iCs/>
          <w:sz w:val="28"/>
          <w:szCs w:val="24"/>
        </w:rPr>
        <w:t>Так</w:t>
      </w:r>
      <w:r>
        <w:rPr>
          <w:rFonts w:ascii="Times New Roman" w:hAnsi="Times New Roman"/>
          <w:iCs/>
          <w:sz w:val="28"/>
          <w:szCs w:val="24"/>
        </w:rPr>
        <w:t xml:space="preserve">, </w:t>
      </w:r>
      <w:r w:rsidR="00C33060">
        <w:rPr>
          <w:rFonts w:ascii="Times New Roman" w:hAnsi="Times New Roman"/>
          <w:iCs/>
          <w:sz w:val="28"/>
          <w:szCs w:val="24"/>
        </w:rPr>
        <w:t>на Россию приходится более 90% банковских активов</w:t>
      </w:r>
      <w:r w:rsidR="008053B3">
        <w:rPr>
          <w:rFonts w:ascii="Times New Roman" w:hAnsi="Times New Roman"/>
          <w:iCs/>
          <w:sz w:val="28"/>
          <w:szCs w:val="24"/>
        </w:rPr>
        <w:t xml:space="preserve"> и суммарной капитализации рынков акций</w:t>
      </w:r>
      <w:r w:rsidR="00C33060">
        <w:rPr>
          <w:rFonts w:ascii="Times New Roman" w:hAnsi="Times New Roman"/>
          <w:iCs/>
          <w:sz w:val="28"/>
          <w:szCs w:val="24"/>
        </w:rPr>
        <w:t xml:space="preserve">, </w:t>
      </w:r>
      <w:r w:rsidR="008053B3">
        <w:rPr>
          <w:rFonts w:ascii="Times New Roman" w:hAnsi="Times New Roman"/>
          <w:iCs/>
          <w:sz w:val="28"/>
          <w:szCs w:val="24"/>
        </w:rPr>
        <w:t>практически весь объем торгов</w:t>
      </w:r>
      <w:r>
        <w:rPr>
          <w:rFonts w:ascii="Times New Roman" w:hAnsi="Times New Roman"/>
          <w:iCs/>
          <w:sz w:val="28"/>
          <w:szCs w:val="24"/>
        </w:rPr>
        <w:t xml:space="preserve"> на фондовых биржах</w:t>
      </w:r>
      <w:r w:rsidR="008053B3">
        <w:rPr>
          <w:rFonts w:ascii="Times New Roman" w:hAnsi="Times New Roman"/>
          <w:iCs/>
          <w:sz w:val="28"/>
          <w:szCs w:val="24"/>
        </w:rPr>
        <w:t xml:space="preserve">, </w:t>
      </w:r>
      <w:r w:rsidR="008053B3" w:rsidRPr="008053B3">
        <w:rPr>
          <w:rFonts w:ascii="Times New Roman" w:hAnsi="Times New Roman"/>
          <w:iCs/>
          <w:sz w:val="28"/>
          <w:szCs w:val="24"/>
        </w:rPr>
        <w:t xml:space="preserve">примерно 85% банков, 75% страховых компаний, 89% институтов финансовой </w:t>
      </w:r>
      <w:r w:rsidR="008053B3" w:rsidRPr="00384E26">
        <w:rPr>
          <w:rFonts w:ascii="Times New Roman" w:hAnsi="Times New Roman"/>
          <w:iCs/>
          <w:sz w:val="28"/>
          <w:szCs w:val="24"/>
        </w:rPr>
        <w:t>инфраструктуры</w:t>
      </w:r>
      <w:r w:rsidRPr="00384E26">
        <w:rPr>
          <w:rFonts w:ascii="Times New Roman" w:hAnsi="Times New Roman"/>
          <w:iCs/>
          <w:sz w:val="28"/>
          <w:szCs w:val="24"/>
        </w:rPr>
        <w:t xml:space="preserve"> [</w:t>
      </w:r>
      <w:r w:rsidR="00384E26" w:rsidRPr="00384E26">
        <w:rPr>
          <w:rFonts w:ascii="Times New Roman" w:hAnsi="Times New Roman"/>
          <w:iCs/>
          <w:sz w:val="28"/>
          <w:szCs w:val="24"/>
        </w:rPr>
        <w:t>1</w:t>
      </w:r>
      <w:r w:rsidR="0013614C">
        <w:rPr>
          <w:rFonts w:ascii="Times New Roman" w:hAnsi="Times New Roman"/>
          <w:iCs/>
          <w:sz w:val="28"/>
          <w:szCs w:val="24"/>
        </w:rPr>
        <w:t>3</w:t>
      </w:r>
      <w:r w:rsidR="00C33060" w:rsidRPr="00384E26">
        <w:rPr>
          <w:rFonts w:ascii="Times New Roman" w:hAnsi="Times New Roman"/>
          <w:iCs/>
          <w:sz w:val="28"/>
          <w:szCs w:val="24"/>
        </w:rPr>
        <w:t xml:space="preserve">, с. 94; </w:t>
      </w:r>
      <w:r w:rsidR="00384E26" w:rsidRPr="00384E26">
        <w:rPr>
          <w:rFonts w:ascii="Times New Roman" w:hAnsi="Times New Roman"/>
          <w:iCs/>
          <w:sz w:val="28"/>
          <w:szCs w:val="24"/>
        </w:rPr>
        <w:t>1</w:t>
      </w:r>
      <w:r w:rsidR="0013614C">
        <w:rPr>
          <w:rFonts w:ascii="Times New Roman" w:hAnsi="Times New Roman"/>
          <w:iCs/>
          <w:sz w:val="28"/>
          <w:szCs w:val="24"/>
        </w:rPr>
        <w:t>2</w:t>
      </w:r>
      <w:r w:rsidR="008053B3" w:rsidRPr="00384E26">
        <w:rPr>
          <w:rFonts w:ascii="Times New Roman" w:hAnsi="Times New Roman"/>
          <w:iCs/>
          <w:sz w:val="28"/>
          <w:szCs w:val="24"/>
        </w:rPr>
        <w:t>, с.</w:t>
      </w:r>
      <w:r w:rsidR="00927619" w:rsidRPr="00384E26">
        <w:rPr>
          <w:rFonts w:ascii="Times New Roman" w:hAnsi="Times New Roman"/>
          <w:iCs/>
          <w:sz w:val="28"/>
          <w:szCs w:val="24"/>
        </w:rPr>
        <w:t xml:space="preserve"> 14</w:t>
      </w:r>
      <w:r w:rsidRPr="00384E26">
        <w:rPr>
          <w:rFonts w:ascii="Times New Roman" w:hAnsi="Times New Roman"/>
          <w:iCs/>
          <w:sz w:val="28"/>
          <w:szCs w:val="24"/>
        </w:rPr>
        <w:t>].</w:t>
      </w:r>
      <w:r w:rsidR="008053B3" w:rsidRPr="00384E26">
        <w:rPr>
          <w:rFonts w:ascii="Times New Roman" w:hAnsi="Times New Roman"/>
          <w:iCs/>
          <w:sz w:val="28"/>
          <w:szCs w:val="24"/>
        </w:rPr>
        <w:t xml:space="preserve"> </w:t>
      </w:r>
      <w:r w:rsidRPr="00384E26">
        <w:rPr>
          <w:rFonts w:ascii="Times New Roman" w:hAnsi="Times New Roman"/>
          <w:iCs/>
          <w:sz w:val="28"/>
          <w:szCs w:val="24"/>
        </w:rPr>
        <w:t>Таким образом, Россия является</w:t>
      </w:r>
      <w:r>
        <w:rPr>
          <w:rFonts w:ascii="Times New Roman" w:hAnsi="Times New Roman"/>
          <w:iCs/>
          <w:sz w:val="28"/>
          <w:szCs w:val="24"/>
        </w:rPr>
        <w:t xml:space="preserve"> локомотивом развития </w:t>
      </w:r>
      <w:r w:rsidR="00E135AA">
        <w:rPr>
          <w:rFonts w:ascii="Times New Roman" w:hAnsi="Times New Roman"/>
          <w:iCs/>
          <w:sz w:val="28"/>
          <w:szCs w:val="24"/>
        </w:rPr>
        <w:t>общего</w:t>
      </w:r>
      <w:r>
        <w:rPr>
          <w:rFonts w:ascii="Times New Roman" w:hAnsi="Times New Roman"/>
          <w:iCs/>
          <w:sz w:val="28"/>
          <w:szCs w:val="24"/>
        </w:rPr>
        <w:t xml:space="preserve"> финансового рынка</w:t>
      </w:r>
      <w:r w:rsidR="00E135AA">
        <w:rPr>
          <w:rFonts w:ascii="Times New Roman" w:hAnsi="Times New Roman"/>
          <w:iCs/>
          <w:sz w:val="28"/>
          <w:szCs w:val="24"/>
        </w:rPr>
        <w:t xml:space="preserve"> ЕАЭС</w:t>
      </w:r>
      <w:r>
        <w:rPr>
          <w:rFonts w:ascii="Times New Roman" w:hAnsi="Times New Roman"/>
          <w:iCs/>
          <w:sz w:val="28"/>
          <w:szCs w:val="24"/>
        </w:rPr>
        <w:t>. Однако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662">
        <w:rPr>
          <w:rFonts w:ascii="Times New Roman" w:hAnsi="Times New Roman" w:cs="Times New Roman"/>
          <w:sz w:val="28"/>
          <w:szCs w:val="28"/>
        </w:rPr>
        <w:t>условиях повышенных геополитических рисков</w:t>
      </w:r>
      <w:r>
        <w:rPr>
          <w:rFonts w:ascii="Times New Roman" w:hAnsi="Times New Roman" w:cs="Times New Roman"/>
          <w:sz w:val="28"/>
          <w:szCs w:val="28"/>
        </w:rPr>
        <w:t xml:space="preserve"> финансовая конъюнктура в </w:t>
      </w:r>
      <w:r w:rsidR="00E135AA">
        <w:rPr>
          <w:rFonts w:ascii="Times New Roman" w:hAnsi="Times New Roman" w:cs="Times New Roman"/>
          <w:sz w:val="28"/>
          <w:szCs w:val="28"/>
        </w:rPr>
        <w:t>Союзе</w:t>
      </w:r>
      <w:r>
        <w:rPr>
          <w:rFonts w:ascii="Times New Roman" w:hAnsi="Times New Roman" w:cs="Times New Roman"/>
          <w:sz w:val="28"/>
          <w:szCs w:val="28"/>
        </w:rPr>
        <w:t xml:space="preserve"> в целом и в России в частности складывается </w:t>
      </w:r>
      <w:r w:rsidR="00271662">
        <w:rPr>
          <w:rFonts w:ascii="Times New Roman" w:hAnsi="Times New Roman" w:cs="Times New Roman"/>
          <w:sz w:val="28"/>
          <w:szCs w:val="28"/>
        </w:rPr>
        <w:t>неблагоприятно</w:t>
      </w:r>
      <w:r w:rsidR="005B2CC4">
        <w:rPr>
          <w:rFonts w:ascii="Times New Roman" w:hAnsi="Times New Roman" w:cs="Times New Roman"/>
          <w:sz w:val="28"/>
          <w:szCs w:val="28"/>
        </w:rPr>
        <w:t xml:space="preserve">, что не позволяет реализовать потенциал положительного влияния </w:t>
      </w:r>
      <w:r w:rsidR="00C67264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5B2CC4">
        <w:rPr>
          <w:rFonts w:ascii="Times New Roman" w:hAnsi="Times New Roman" w:cs="Times New Roman"/>
          <w:sz w:val="28"/>
          <w:szCs w:val="28"/>
        </w:rPr>
        <w:t>финансовых систем на социально-экономическое развитие.</w:t>
      </w:r>
    </w:p>
    <w:p w:rsidR="00E1331F" w:rsidRDefault="002C2F7E" w:rsidP="00E13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</w:t>
      </w:r>
      <w:r w:rsidR="00271662">
        <w:rPr>
          <w:rFonts w:ascii="Times New Roman" w:hAnsi="Times New Roman" w:cs="Times New Roman"/>
          <w:sz w:val="28"/>
          <w:szCs w:val="28"/>
        </w:rPr>
        <w:t xml:space="preserve"> секторальных</w:t>
      </w:r>
      <w:r>
        <w:rPr>
          <w:rFonts w:ascii="Times New Roman" w:hAnsi="Times New Roman" w:cs="Times New Roman"/>
          <w:sz w:val="28"/>
          <w:szCs w:val="28"/>
        </w:rPr>
        <w:t xml:space="preserve"> диспропорций, </w:t>
      </w:r>
      <w:r w:rsidR="00271662">
        <w:rPr>
          <w:rFonts w:ascii="Times New Roman" w:hAnsi="Times New Roman" w:cs="Times New Roman"/>
          <w:sz w:val="28"/>
          <w:szCs w:val="28"/>
        </w:rPr>
        <w:t xml:space="preserve">о которых еще будет сказано далее,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331F">
        <w:rPr>
          <w:rFonts w:ascii="Times New Roman" w:hAnsi="Times New Roman" w:cs="Times New Roman"/>
          <w:sz w:val="28"/>
          <w:szCs w:val="28"/>
        </w:rPr>
        <w:t xml:space="preserve"> качестве интер</w:t>
      </w:r>
      <w:r w:rsidR="00271662">
        <w:rPr>
          <w:rFonts w:ascii="Times New Roman" w:hAnsi="Times New Roman" w:cs="Times New Roman"/>
          <w:sz w:val="28"/>
          <w:szCs w:val="28"/>
        </w:rPr>
        <w:t xml:space="preserve">есной иллюстрации отметим, что </w:t>
      </w:r>
      <w:r w:rsidR="00E1331F">
        <w:rPr>
          <w:rFonts w:ascii="Times New Roman" w:hAnsi="Times New Roman" w:cs="Times New Roman"/>
          <w:sz w:val="28"/>
          <w:szCs w:val="28"/>
        </w:rPr>
        <w:t xml:space="preserve">Россия демонстрирует стабильное повышение относительно уровня депозитов финансовой системы на фоне </w:t>
      </w:r>
      <w:proofErr w:type="gramStart"/>
      <w:r w:rsidR="00E1331F">
        <w:rPr>
          <w:rFonts w:ascii="Times New Roman" w:hAnsi="Times New Roman" w:cs="Times New Roman"/>
          <w:sz w:val="28"/>
          <w:szCs w:val="28"/>
        </w:rPr>
        <w:t>падения относительного уровня капитализации рынка акций</w:t>
      </w:r>
      <w:proofErr w:type="gramEnd"/>
      <w:r w:rsidR="00E1331F">
        <w:rPr>
          <w:rFonts w:ascii="Times New Roman" w:hAnsi="Times New Roman" w:cs="Times New Roman"/>
          <w:sz w:val="28"/>
          <w:szCs w:val="28"/>
        </w:rPr>
        <w:t>.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="00E1331F">
        <w:rPr>
          <w:rFonts w:ascii="Times New Roman" w:hAnsi="Times New Roman" w:cs="Times New Roman"/>
          <w:sz w:val="28"/>
          <w:szCs w:val="28"/>
        </w:rPr>
        <w:t xml:space="preserve">Более того, с 2013 г. финансовая глубина депозитных финансовых институтов в РФ превышает глубину рынка акций, что возвращает нас к финансовым пропорциям </w:t>
      </w:r>
      <w:r w:rsidR="00E1331F" w:rsidRPr="003A5A66">
        <w:rPr>
          <w:rFonts w:ascii="Times New Roman" w:hAnsi="Times New Roman" w:cs="Times New Roman"/>
          <w:sz w:val="28"/>
          <w:szCs w:val="28"/>
        </w:rPr>
        <w:t>начала 1990-х</w:t>
      </w:r>
      <w:r w:rsidR="00271662" w:rsidRPr="003A5A66">
        <w:rPr>
          <w:rFonts w:ascii="Times New Roman" w:hAnsi="Times New Roman" w:cs="Times New Roman"/>
          <w:sz w:val="28"/>
          <w:szCs w:val="28"/>
        </w:rPr>
        <w:t xml:space="preserve"> гг</w:t>
      </w:r>
      <w:r w:rsidR="00E1331F" w:rsidRPr="003A5A66">
        <w:rPr>
          <w:rFonts w:ascii="Times New Roman" w:hAnsi="Times New Roman" w:cs="Times New Roman"/>
          <w:sz w:val="28"/>
          <w:szCs w:val="28"/>
        </w:rPr>
        <w:t xml:space="preserve">. </w:t>
      </w:r>
      <w:r w:rsidR="003A5A66" w:rsidRPr="003A5A66">
        <w:rPr>
          <w:rFonts w:ascii="Times New Roman" w:hAnsi="Times New Roman" w:cs="Times New Roman"/>
          <w:sz w:val="28"/>
          <w:szCs w:val="28"/>
        </w:rPr>
        <w:t>(о специфике данного см., в частности: [23</w:t>
      </w:r>
      <w:r w:rsidR="003A5A66" w:rsidRPr="003A5A66">
        <w:rPr>
          <w:rFonts w:ascii="Times New Roman" w:hAnsi="Times New Roman" w:cs="Times New Roman"/>
          <w:sz w:val="28"/>
          <w:szCs w:val="28"/>
          <w:lang w:val="en-US"/>
        </w:rPr>
        <w:t>, p. 674-675</w:t>
      </w:r>
      <w:r w:rsidR="003A5A66" w:rsidRPr="003A5A66">
        <w:rPr>
          <w:rFonts w:ascii="Times New Roman" w:hAnsi="Times New Roman" w:cs="Times New Roman"/>
          <w:sz w:val="28"/>
          <w:szCs w:val="28"/>
        </w:rPr>
        <w:t>]).</w:t>
      </w:r>
      <w:r w:rsidR="003A5A66">
        <w:rPr>
          <w:rFonts w:ascii="Times New Roman" w:hAnsi="Times New Roman" w:cs="Times New Roman"/>
          <w:sz w:val="28"/>
          <w:szCs w:val="28"/>
        </w:rPr>
        <w:t xml:space="preserve"> </w:t>
      </w:r>
      <w:r w:rsidR="00271662">
        <w:rPr>
          <w:rFonts w:ascii="Times New Roman" w:hAnsi="Times New Roman" w:cs="Times New Roman"/>
          <w:sz w:val="28"/>
          <w:szCs w:val="28"/>
        </w:rPr>
        <w:t xml:space="preserve">Подобное изменение финансовой структуры свидетельствует не только о замедлении финансового развития, но и о снижении уровня </w:t>
      </w:r>
      <w:r w:rsidR="00271662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национального благосостояния, которое является значимым фактором прогресса в сфере финансовых услуг </w:t>
      </w:r>
      <w:r w:rsidR="003A5A66">
        <w:rPr>
          <w:rFonts w:ascii="Times New Roman" w:hAnsi="Times New Roman" w:cs="Times New Roman"/>
          <w:sz w:val="28"/>
          <w:szCs w:val="28"/>
        </w:rPr>
        <w:t>(рис. </w:t>
      </w:r>
      <w:r w:rsidR="009861B4">
        <w:rPr>
          <w:rFonts w:ascii="Times New Roman" w:hAnsi="Times New Roman" w:cs="Times New Roman"/>
          <w:sz w:val="28"/>
          <w:szCs w:val="28"/>
        </w:rPr>
        <w:t>1).</w:t>
      </w:r>
    </w:p>
    <w:p w:rsidR="00E1331F" w:rsidRDefault="00E1331F" w:rsidP="00E133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D67E85" wp14:editId="0BC091C1">
            <wp:extent cx="6035040" cy="2268748"/>
            <wp:effectExtent l="0" t="0" r="381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331F" w:rsidRPr="00B46AAA" w:rsidRDefault="00E1331F" w:rsidP="00E133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Депозиты финансовой системы и капитализация рынка акций в </w:t>
      </w:r>
      <w:r w:rsidRPr="00384E26">
        <w:rPr>
          <w:rFonts w:ascii="Times New Roman" w:hAnsi="Times New Roman" w:cs="Times New Roman"/>
          <w:sz w:val="28"/>
          <w:szCs w:val="28"/>
        </w:rPr>
        <w:t>Российской Федерации, % к ВВП</w:t>
      </w:r>
      <w:r w:rsidR="00B46AAA" w:rsidRPr="00384E26">
        <w:rPr>
          <w:rFonts w:ascii="Times New Roman" w:hAnsi="Times New Roman" w:cs="Times New Roman"/>
          <w:sz w:val="28"/>
          <w:szCs w:val="28"/>
        </w:rPr>
        <w:t xml:space="preserve"> [</w:t>
      </w:r>
      <w:r w:rsidR="00384E26">
        <w:rPr>
          <w:rFonts w:ascii="Times New Roman" w:hAnsi="Times New Roman" w:cs="Times New Roman"/>
          <w:sz w:val="28"/>
          <w:szCs w:val="28"/>
        </w:rPr>
        <w:t>сост. по:</w:t>
      </w:r>
      <w:r w:rsidR="00384E26" w:rsidRPr="00384E26">
        <w:rPr>
          <w:rFonts w:ascii="Times New Roman" w:hAnsi="Times New Roman" w:cs="Times New Roman"/>
          <w:sz w:val="28"/>
          <w:szCs w:val="28"/>
        </w:rPr>
        <w:t xml:space="preserve"> 2</w:t>
      </w:r>
      <w:r w:rsidR="0013614C">
        <w:rPr>
          <w:rFonts w:ascii="Times New Roman" w:hAnsi="Times New Roman" w:cs="Times New Roman"/>
          <w:sz w:val="28"/>
          <w:szCs w:val="28"/>
        </w:rPr>
        <w:t>2</w:t>
      </w:r>
      <w:r w:rsidR="00B46AAA" w:rsidRPr="00384E26">
        <w:rPr>
          <w:rFonts w:ascii="Times New Roman" w:hAnsi="Times New Roman" w:cs="Times New Roman"/>
          <w:sz w:val="28"/>
          <w:szCs w:val="28"/>
        </w:rPr>
        <w:t>]</w:t>
      </w:r>
    </w:p>
    <w:p w:rsidR="00DE4F10" w:rsidRDefault="00944B51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35CA"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E1331F">
        <w:rPr>
          <w:rFonts w:ascii="Times New Roman" w:hAnsi="Times New Roman" w:cs="Times New Roman"/>
          <w:sz w:val="28"/>
          <w:szCs w:val="28"/>
        </w:rPr>
        <w:t>сжатия объемов финанс</w:t>
      </w:r>
      <w:r w:rsidR="005B2CC4">
        <w:rPr>
          <w:rFonts w:ascii="Times New Roman" w:hAnsi="Times New Roman" w:cs="Times New Roman"/>
          <w:sz w:val="28"/>
          <w:szCs w:val="28"/>
        </w:rPr>
        <w:t xml:space="preserve">ового сектора, который перестает способствовать экономическому развитию и улучшению социальных условий, </w:t>
      </w:r>
      <w:r w:rsidR="00EB4577">
        <w:rPr>
          <w:rFonts w:ascii="Times New Roman" w:hAnsi="Times New Roman" w:cs="Times New Roman"/>
          <w:sz w:val="28"/>
          <w:szCs w:val="28"/>
        </w:rPr>
        <w:t>необходим поиск драйверов финансового развития, которые</w:t>
      </w:r>
      <w:r w:rsidR="005B2CC4">
        <w:rPr>
          <w:rFonts w:ascii="Times New Roman" w:hAnsi="Times New Roman" w:cs="Times New Roman"/>
          <w:sz w:val="28"/>
          <w:szCs w:val="28"/>
        </w:rPr>
        <w:t>, что немаловажно,</w:t>
      </w:r>
      <w:r w:rsidR="00EB4577">
        <w:rPr>
          <w:rFonts w:ascii="Times New Roman" w:hAnsi="Times New Roman" w:cs="Times New Roman"/>
          <w:sz w:val="28"/>
          <w:szCs w:val="28"/>
        </w:rPr>
        <w:t xml:space="preserve"> позволят задействовать </w:t>
      </w:r>
      <w:r w:rsidR="005B2CC4">
        <w:rPr>
          <w:rFonts w:ascii="Times New Roman" w:hAnsi="Times New Roman" w:cs="Times New Roman"/>
          <w:sz w:val="28"/>
          <w:szCs w:val="28"/>
        </w:rPr>
        <w:t xml:space="preserve">и </w:t>
      </w:r>
      <w:r w:rsidR="00B235CA">
        <w:rPr>
          <w:rFonts w:ascii="Times New Roman" w:hAnsi="Times New Roman" w:cs="Times New Roman"/>
          <w:sz w:val="28"/>
          <w:szCs w:val="28"/>
        </w:rPr>
        <w:t xml:space="preserve">системный </w:t>
      </w:r>
      <w:r w:rsidR="00EB4577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B235CA">
        <w:rPr>
          <w:rFonts w:ascii="Times New Roman" w:hAnsi="Times New Roman" w:cs="Times New Roman"/>
          <w:sz w:val="28"/>
          <w:szCs w:val="28"/>
        </w:rPr>
        <w:t>евразийской</w:t>
      </w:r>
      <w:r w:rsidR="00EB4577">
        <w:rPr>
          <w:rFonts w:ascii="Times New Roman" w:hAnsi="Times New Roman" w:cs="Times New Roman"/>
          <w:sz w:val="28"/>
          <w:szCs w:val="28"/>
        </w:rPr>
        <w:t xml:space="preserve"> интеграции.</w:t>
      </w:r>
      <w:r w:rsidR="00DE4F10">
        <w:rPr>
          <w:rFonts w:ascii="Times New Roman" w:hAnsi="Times New Roman" w:cs="Times New Roman"/>
          <w:sz w:val="28"/>
          <w:szCs w:val="28"/>
        </w:rPr>
        <w:t xml:space="preserve"> Такими драйверами </w:t>
      </w:r>
      <w:r w:rsidR="00EB4577">
        <w:rPr>
          <w:rFonts w:ascii="Times New Roman" w:hAnsi="Times New Roman" w:cs="Times New Roman"/>
          <w:sz w:val="28"/>
          <w:szCs w:val="28"/>
        </w:rPr>
        <w:t xml:space="preserve">могут стать финансовые решения, </w:t>
      </w:r>
      <w:r w:rsidR="003D3E6B">
        <w:rPr>
          <w:rFonts w:ascii="Times New Roman" w:hAnsi="Times New Roman" w:cs="Times New Roman"/>
          <w:sz w:val="28"/>
          <w:szCs w:val="28"/>
        </w:rPr>
        <w:t>апеллирующие к целям</w:t>
      </w:r>
      <w:r w:rsidR="00EB4577">
        <w:rPr>
          <w:rFonts w:ascii="Times New Roman" w:hAnsi="Times New Roman" w:cs="Times New Roman"/>
          <w:sz w:val="28"/>
          <w:szCs w:val="28"/>
        </w:rPr>
        <w:t xml:space="preserve"> устойчивого развития</w:t>
      </w:r>
      <w:r w:rsidR="00B235CA">
        <w:rPr>
          <w:rFonts w:ascii="Times New Roman" w:hAnsi="Times New Roman" w:cs="Times New Roman"/>
          <w:sz w:val="28"/>
          <w:szCs w:val="28"/>
        </w:rPr>
        <w:t xml:space="preserve"> и, следовательно, имею</w:t>
      </w:r>
      <w:r w:rsidR="00DE4F10">
        <w:rPr>
          <w:rFonts w:ascii="Times New Roman" w:hAnsi="Times New Roman" w:cs="Times New Roman"/>
          <w:sz w:val="28"/>
          <w:szCs w:val="28"/>
        </w:rPr>
        <w:t>щие</w:t>
      </w:r>
      <w:r w:rsidR="00B235CA">
        <w:rPr>
          <w:rFonts w:ascii="Times New Roman" w:hAnsi="Times New Roman" w:cs="Times New Roman"/>
          <w:sz w:val="28"/>
          <w:szCs w:val="28"/>
        </w:rPr>
        <w:t xml:space="preserve"> особое социально-экономическое значение</w:t>
      </w:r>
      <w:r w:rsidR="00DE4F10">
        <w:rPr>
          <w:rFonts w:ascii="Times New Roman" w:hAnsi="Times New Roman" w:cs="Times New Roman"/>
          <w:sz w:val="28"/>
          <w:szCs w:val="28"/>
        </w:rPr>
        <w:t xml:space="preserve"> </w:t>
      </w:r>
      <w:r w:rsidR="003D3E6B">
        <w:rPr>
          <w:rFonts w:ascii="Times New Roman" w:hAnsi="Times New Roman" w:cs="Times New Roman"/>
          <w:sz w:val="28"/>
          <w:szCs w:val="28"/>
        </w:rPr>
        <w:t>в современном обществе</w:t>
      </w:r>
      <w:r w:rsidR="00DE4F10">
        <w:rPr>
          <w:rFonts w:ascii="Times New Roman" w:hAnsi="Times New Roman" w:cs="Times New Roman"/>
          <w:sz w:val="28"/>
          <w:szCs w:val="28"/>
        </w:rPr>
        <w:t>.</w:t>
      </w:r>
    </w:p>
    <w:p w:rsidR="00F27427" w:rsidRPr="00F27427" w:rsidRDefault="00F2742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0C">
        <w:rPr>
          <w:rFonts w:ascii="Times New Roman" w:hAnsi="Times New Roman" w:cs="Times New Roman"/>
          <w:b/>
          <w:sz w:val="28"/>
          <w:szCs w:val="28"/>
        </w:rPr>
        <w:t>2 Предпосылки к внедрению модели устойчивого развития финансового рынка ЕАЭС</w:t>
      </w:r>
    </w:p>
    <w:p w:rsidR="00DE4F10" w:rsidRDefault="00EB4577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к </w:t>
      </w:r>
      <w:r w:rsidR="00DE4F10">
        <w:rPr>
          <w:rFonts w:ascii="Times New Roman" w:hAnsi="Times New Roman" w:cs="Times New Roman"/>
          <w:sz w:val="28"/>
          <w:szCs w:val="28"/>
        </w:rPr>
        <w:t>внедрению модели устойчивого развития финансового рынка ЕАЭС</w:t>
      </w:r>
      <w:r>
        <w:rPr>
          <w:rFonts w:ascii="Times New Roman" w:hAnsi="Times New Roman" w:cs="Times New Roman"/>
          <w:sz w:val="28"/>
          <w:szCs w:val="28"/>
        </w:rPr>
        <w:t xml:space="preserve"> складываются, </w:t>
      </w:r>
      <w:r w:rsidR="00C30770">
        <w:rPr>
          <w:rFonts w:ascii="Times New Roman" w:hAnsi="Times New Roman" w:cs="Times New Roman"/>
          <w:sz w:val="28"/>
          <w:szCs w:val="28"/>
        </w:rPr>
        <w:t>прежде всего</w:t>
      </w:r>
      <w:r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Pr="00EB4577">
        <w:rPr>
          <w:rFonts w:ascii="Times New Roman" w:hAnsi="Times New Roman" w:cs="Times New Roman"/>
          <w:sz w:val="28"/>
          <w:szCs w:val="28"/>
        </w:rPr>
        <w:t>специфики современного этапа развития устойчивых финансов</w:t>
      </w:r>
      <w:r w:rsidR="00DE4F10">
        <w:rPr>
          <w:rFonts w:ascii="Times New Roman" w:hAnsi="Times New Roman" w:cs="Times New Roman"/>
          <w:sz w:val="28"/>
          <w:szCs w:val="28"/>
        </w:rPr>
        <w:t xml:space="preserve">. Отражая переход современного общества к </w:t>
      </w:r>
      <w:r w:rsidR="00012B4C">
        <w:rPr>
          <w:rFonts w:ascii="Times New Roman" w:hAnsi="Times New Roman" w:cs="Times New Roman"/>
          <w:sz w:val="28"/>
          <w:szCs w:val="28"/>
        </w:rPr>
        <w:t>инклюзивному и устойчивому развитию</w:t>
      </w:r>
      <w:r w:rsidR="00DE4F10">
        <w:rPr>
          <w:rFonts w:ascii="Times New Roman" w:hAnsi="Times New Roman" w:cs="Times New Roman"/>
          <w:sz w:val="28"/>
          <w:szCs w:val="28"/>
        </w:rPr>
        <w:t>,</w:t>
      </w:r>
      <w:r w:rsidR="00C30770">
        <w:rPr>
          <w:rFonts w:ascii="Times New Roman" w:hAnsi="Times New Roman" w:cs="Times New Roman"/>
          <w:sz w:val="28"/>
          <w:szCs w:val="28"/>
        </w:rPr>
        <w:t xml:space="preserve"> </w:t>
      </w:r>
      <w:r w:rsidR="00DE4F10">
        <w:rPr>
          <w:rFonts w:ascii="Times New Roman" w:hAnsi="Times New Roman" w:cs="Times New Roman"/>
          <w:sz w:val="28"/>
          <w:szCs w:val="28"/>
        </w:rPr>
        <w:t>экономические, социальные и экологические особенности принятия финансовых решений начинают оказывать значимое влияние</w:t>
      </w:r>
      <w:r w:rsidR="00C30770">
        <w:rPr>
          <w:rFonts w:ascii="Times New Roman" w:hAnsi="Times New Roman" w:cs="Times New Roman"/>
          <w:sz w:val="28"/>
          <w:szCs w:val="28"/>
        </w:rPr>
        <w:t xml:space="preserve"> на спрос и предложение в секторе </w:t>
      </w:r>
      <w:r w:rsidR="00DE4F10">
        <w:rPr>
          <w:rFonts w:ascii="Times New Roman" w:hAnsi="Times New Roman" w:cs="Times New Roman"/>
          <w:sz w:val="28"/>
          <w:szCs w:val="28"/>
        </w:rPr>
        <w:t>финансовых услуг.</w:t>
      </w:r>
      <w:r w:rsidR="00012B4C">
        <w:rPr>
          <w:rFonts w:ascii="Times New Roman" w:hAnsi="Times New Roman" w:cs="Times New Roman"/>
          <w:sz w:val="28"/>
          <w:szCs w:val="28"/>
        </w:rPr>
        <w:t xml:space="preserve"> Представляется, что внедрение принципов устойчивого развития, отражая мировую повестку дня и возрастающий спрос на</w:t>
      </w:r>
      <w:r w:rsidR="00B46AAA" w:rsidRPr="00B46AAA">
        <w:rPr>
          <w:rFonts w:ascii="Times New Roman" w:hAnsi="Times New Roman" w:cs="Times New Roman"/>
          <w:sz w:val="28"/>
          <w:szCs w:val="28"/>
        </w:rPr>
        <w:t xml:space="preserve"> </w:t>
      </w:r>
      <w:r w:rsidR="00B46AAA">
        <w:rPr>
          <w:rFonts w:ascii="Times New Roman" w:hAnsi="Times New Roman" w:cs="Times New Roman"/>
          <w:sz w:val="28"/>
          <w:szCs w:val="28"/>
        </w:rPr>
        <w:t>альтернативные</w:t>
      </w:r>
      <w:r w:rsidR="00012B4C">
        <w:rPr>
          <w:rFonts w:ascii="Times New Roman" w:hAnsi="Times New Roman" w:cs="Times New Roman"/>
          <w:sz w:val="28"/>
          <w:szCs w:val="28"/>
        </w:rPr>
        <w:t xml:space="preserve"> финансовые услуги, способно активировать финансовую интеграцию «снизу».</w:t>
      </w:r>
    </w:p>
    <w:p w:rsidR="00DE296E" w:rsidRDefault="00012B4C" w:rsidP="00C20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специальном докладе Евразийской экономической комиссии (ЕЭК) отмечается, что</w:t>
      </w:r>
      <w:r w:rsidR="00B46AAA">
        <w:rPr>
          <w:rFonts w:ascii="Times New Roman" w:hAnsi="Times New Roman" w:cs="Times New Roman"/>
          <w:sz w:val="28"/>
          <w:szCs w:val="28"/>
        </w:rPr>
        <w:t xml:space="preserve"> 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B46AAA">
        <w:rPr>
          <w:rFonts w:ascii="Times New Roman" w:hAnsi="Times New Roman" w:cs="Times New Roman"/>
          <w:sz w:val="28"/>
          <w:szCs w:val="28"/>
        </w:rPr>
        <w:t xml:space="preserve"> Союза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достижению целей устойчивого развития (ЦУР) </w:t>
      </w:r>
      <w:r w:rsidR="00B46AAA">
        <w:rPr>
          <w:rFonts w:ascii="Times New Roman" w:hAnsi="Times New Roman" w:cs="Times New Roman"/>
          <w:sz w:val="28"/>
          <w:szCs w:val="28"/>
        </w:rPr>
        <w:t>его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B4C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с. 5</w:t>
      </w:r>
      <w:r w:rsidRPr="00012B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концепция устойчивого развития рассматривается как одна из важнейших детерминант интеграционного процесса. Тем не менее, при сопоставлении приоритетов развития Союза и ЦУР ничего не говорится об устойчивом финансовом развитии. </w:t>
      </w:r>
      <w:r w:rsidR="00060971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роль устойчивых финансов в достижении ЦУР является определяющей.</w:t>
      </w:r>
      <w:r w:rsidR="00060971">
        <w:rPr>
          <w:rFonts w:ascii="Times New Roman" w:hAnsi="Times New Roman" w:cs="Times New Roman"/>
          <w:sz w:val="28"/>
          <w:szCs w:val="28"/>
        </w:rPr>
        <w:t xml:space="preserve"> </w:t>
      </w:r>
      <w:r w:rsidR="00DE296E">
        <w:rPr>
          <w:rFonts w:ascii="Times New Roman" w:hAnsi="Times New Roman" w:cs="Times New Roman"/>
          <w:sz w:val="28"/>
          <w:szCs w:val="28"/>
        </w:rPr>
        <w:t>Рассматривая устойчивые финансы с позиции ресурсной трактовки</w:t>
      </w:r>
      <w:r w:rsidR="005E5CA1">
        <w:rPr>
          <w:rFonts w:ascii="Times New Roman" w:hAnsi="Times New Roman" w:cs="Times New Roman"/>
          <w:sz w:val="28"/>
          <w:szCs w:val="28"/>
        </w:rPr>
        <w:t xml:space="preserve"> (</w:t>
      </w:r>
      <w:r w:rsidR="00B46AAA">
        <w:rPr>
          <w:rFonts w:ascii="Times New Roman" w:hAnsi="Times New Roman" w:cs="Times New Roman"/>
          <w:sz w:val="28"/>
          <w:szCs w:val="28"/>
        </w:rPr>
        <w:t>как</w:t>
      </w:r>
      <w:r w:rsidR="005E5CA1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B46AAA">
        <w:rPr>
          <w:rFonts w:ascii="Times New Roman" w:hAnsi="Times New Roman" w:cs="Times New Roman"/>
          <w:sz w:val="28"/>
          <w:szCs w:val="28"/>
        </w:rPr>
        <w:t>а</w:t>
      </w:r>
      <w:r w:rsidR="005E5CA1">
        <w:rPr>
          <w:rFonts w:ascii="Times New Roman" w:hAnsi="Times New Roman" w:cs="Times New Roman"/>
          <w:sz w:val="28"/>
          <w:szCs w:val="28"/>
        </w:rPr>
        <w:t xml:space="preserve"> финансирования проектов, связанных с достижением ЦУР), можно выявить следующие социально-экономические приоритеты устойчивого развития финансового рынка ЕАЭС (табл. 1).</w:t>
      </w:r>
    </w:p>
    <w:p w:rsidR="005E5CA1" w:rsidRDefault="005E5CA1" w:rsidP="005E5C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Социально-экономические приоритеты устойчивого развития финансового рынка ЕАЭС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9"/>
        <w:gridCol w:w="509"/>
        <w:gridCol w:w="509"/>
        <w:gridCol w:w="509"/>
        <w:gridCol w:w="509"/>
        <w:gridCol w:w="509"/>
        <w:gridCol w:w="509"/>
        <w:gridCol w:w="632"/>
      </w:tblGrid>
      <w:tr w:rsidR="00FB0F47" w:rsidRPr="00B839CE" w:rsidTr="00FB0F47">
        <w:tc>
          <w:tcPr>
            <w:tcW w:w="868" w:type="dxa"/>
          </w:tcPr>
          <w:p w:rsidR="00FB0F47" w:rsidRPr="00B839CE" w:rsidRDefault="00FB0F47" w:rsidP="005B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</w:p>
        </w:tc>
        <w:tc>
          <w:tcPr>
            <w:tcW w:w="8760" w:type="dxa"/>
            <w:gridSpan w:val="17"/>
          </w:tcPr>
          <w:p w:rsidR="00FB0F47" w:rsidRPr="00B839CE" w:rsidRDefault="00FB0F47" w:rsidP="005B797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цели устойчивого развития, связанной с наиболее серьезными вызовами для стран ЕАЭС</w:t>
            </w: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7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7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7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9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9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:rsidR="00657D80" w:rsidRPr="00FB0F47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F4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632" w:type="dxa"/>
          </w:tcPr>
          <w:p w:rsidR="00657D80" w:rsidRPr="00B839CE" w:rsidRDefault="00657D80" w:rsidP="00B839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EAAAA" w:themeFill="background2" w:themeFillShade="BF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EAAAA" w:themeFill="background2" w:themeFillShade="BF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2F2F2" w:themeFill="background1" w:themeFillShade="F2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EAAAA" w:themeFill="background2" w:themeFillShade="BF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47" w:rsidRPr="00B839CE" w:rsidTr="00FB0F47">
        <w:tc>
          <w:tcPr>
            <w:tcW w:w="86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EAAAA" w:themeFill="background2" w:themeFillShade="BF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</w:tcPr>
          <w:p w:rsidR="00657D80" w:rsidRPr="00B839CE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D80" w:rsidRPr="00B839CE" w:rsidTr="00FB0F47">
        <w:tc>
          <w:tcPr>
            <w:tcW w:w="9628" w:type="dxa"/>
            <w:gridSpan w:val="18"/>
          </w:tcPr>
          <w:p w:rsidR="00657D80" w:rsidRDefault="00657D80" w:rsidP="005E5CA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Примечание: РА – Республика Армения, РБ – Республика Беларусь, РК – Республика Казахстан,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Кыргызская Республика, РФ – Российская Федерация</w:t>
            </w:r>
          </w:p>
        </w:tc>
      </w:tr>
    </w:tbl>
    <w:p w:rsidR="005E5CA1" w:rsidRPr="00B839CE" w:rsidRDefault="00B839CE" w:rsidP="00B83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Сост. по: </w:t>
      </w:r>
      <w:r w:rsidRPr="00376804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сост. по: 2</w:t>
      </w:r>
      <w:r w:rsidR="008871ED">
        <w:rPr>
          <w:rFonts w:ascii="Times New Roman" w:hAnsi="Times New Roman" w:cs="Times New Roman"/>
          <w:sz w:val="28"/>
          <w:szCs w:val="28"/>
        </w:rPr>
        <w:t>4</w:t>
      </w:r>
      <w:r w:rsidRPr="003768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057" w:rsidRDefault="00FB0F47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следует из оценки достижения ЦУР, такими приоритетами в порядке убывания совместной значимости для стран Союза являются: 1) Мир, правосудие и эффективные институты (цель 16); 2) Хорошее здоровье и благополучие (3); Индустриализация, инновации и инфраструктура (9), Уменьшение неравенства (10); 3) Ликвидация голода (2), Достойная работа и экономический рост (8), Борьба с изменением климата (13).</w:t>
      </w:r>
      <w:proofErr w:type="gramEnd"/>
      <w:r w:rsid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046057">
        <w:rPr>
          <w:rFonts w:ascii="Times New Roman" w:hAnsi="Times New Roman" w:cs="Times New Roman"/>
          <w:sz w:val="28"/>
          <w:szCs w:val="28"/>
        </w:rPr>
        <w:t xml:space="preserve">Нельзя забывать, что </w:t>
      </w:r>
      <w:r w:rsidR="009B79ED">
        <w:rPr>
          <w:rFonts w:ascii="Times New Roman" w:hAnsi="Times New Roman" w:cs="Times New Roman"/>
          <w:sz w:val="28"/>
          <w:szCs w:val="28"/>
        </w:rPr>
        <w:t>ЕАЭС</w:t>
      </w:r>
      <w:r w:rsidR="00046057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9B79ED">
        <w:rPr>
          <w:rFonts w:ascii="Times New Roman" w:hAnsi="Times New Roman" w:cs="Times New Roman"/>
          <w:sz w:val="28"/>
          <w:szCs w:val="28"/>
        </w:rPr>
        <w:t>е</w:t>
      </w:r>
      <w:r w:rsidR="00376804">
        <w:rPr>
          <w:rFonts w:ascii="Times New Roman" w:hAnsi="Times New Roman" w:cs="Times New Roman"/>
          <w:sz w:val="28"/>
          <w:szCs w:val="28"/>
        </w:rPr>
        <w:t xml:space="preserve">т лидирующие позиции в мире по добыче </w:t>
      </w:r>
      <w:r w:rsidR="00046057">
        <w:rPr>
          <w:rFonts w:ascii="Times New Roman" w:hAnsi="Times New Roman" w:cs="Times New Roman"/>
          <w:sz w:val="28"/>
          <w:szCs w:val="28"/>
        </w:rPr>
        <w:t>нефти и газа</w:t>
      </w:r>
      <w:r w:rsidR="00376804">
        <w:rPr>
          <w:rFonts w:ascii="Times New Roman" w:hAnsi="Times New Roman" w:cs="Times New Roman"/>
          <w:sz w:val="28"/>
          <w:szCs w:val="28"/>
        </w:rPr>
        <w:t xml:space="preserve">, а также выработке электроэнергии (по итогам 2017 г. 14,6%, 20,9%, 11,2% в мировых объемах соответственно) </w:t>
      </w:r>
      <w:r w:rsidR="00376804" w:rsidRPr="00376804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2</w:t>
      </w:r>
      <w:r w:rsidR="00376804" w:rsidRPr="00376804">
        <w:rPr>
          <w:rFonts w:ascii="Times New Roman" w:hAnsi="Times New Roman" w:cs="Times New Roman"/>
          <w:sz w:val="28"/>
          <w:szCs w:val="28"/>
        </w:rPr>
        <w:t>]</w:t>
      </w:r>
      <w:r w:rsidR="00046057">
        <w:rPr>
          <w:rFonts w:ascii="Times New Roman" w:hAnsi="Times New Roman" w:cs="Times New Roman"/>
          <w:sz w:val="28"/>
          <w:szCs w:val="28"/>
        </w:rPr>
        <w:t xml:space="preserve">. </w:t>
      </w:r>
      <w:r w:rsidR="00376804">
        <w:rPr>
          <w:rFonts w:ascii="Times New Roman" w:hAnsi="Times New Roman" w:cs="Times New Roman"/>
          <w:sz w:val="28"/>
          <w:szCs w:val="28"/>
        </w:rPr>
        <w:t xml:space="preserve">Именно в этих сферах осуществляются и </w:t>
      </w:r>
      <w:r w:rsidR="00376804">
        <w:rPr>
          <w:rFonts w:ascii="Times New Roman" w:hAnsi="Times New Roman" w:cs="Times New Roman"/>
          <w:sz w:val="28"/>
          <w:szCs w:val="28"/>
        </w:rPr>
        <w:lastRenderedPageBreak/>
        <w:t xml:space="preserve">крупнейшие инвестиционные проекты ЕАЭС </w:t>
      </w:r>
      <w:r w:rsidR="00376804" w:rsidRPr="00376804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2</w:t>
      </w:r>
      <w:r w:rsidR="00376804" w:rsidRPr="00376804">
        <w:rPr>
          <w:rFonts w:ascii="Times New Roman" w:hAnsi="Times New Roman" w:cs="Times New Roman"/>
          <w:sz w:val="28"/>
          <w:szCs w:val="28"/>
        </w:rPr>
        <w:t>]</w:t>
      </w:r>
      <w:r w:rsidR="00376804">
        <w:rPr>
          <w:rFonts w:ascii="Times New Roman" w:hAnsi="Times New Roman" w:cs="Times New Roman"/>
          <w:sz w:val="28"/>
          <w:szCs w:val="28"/>
        </w:rPr>
        <w:t xml:space="preserve">. </w:t>
      </w:r>
      <w:r w:rsidR="00E86898">
        <w:rPr>
          <w:rFonts w:ascii="Times New Roman" w:hAnsi="Times New Roman" w:cs="Times New Roman"/>
          <w:sz w:val="28"/>
          <w:szCs w:val="28"/>
        </w:rPr>
        <w:t>Данная особенность</w:t>
      </w:r>
      <w:r w:rsidR="00046057">
        <w:rPr>
          <w:rFonts w:ascii="Times New Roman" w:hAnsi="Times New Roman" w:cs="Times New Roman"/>
          <w:sz w:val="28"/>
          <w:szCs w:val="28"/>
        </w:rPr>
        <w:t xml:space="preserve"> актуализирует развитие климатическ</w:t>
      </w:r>
      <w:r w:rsidR="00E86898">
        <w:rPr>
          <w:rFonts w:ascii="Times New Roman" w:hAnsi="Times New Roman" w:cs="Times New Roman"/>
          <w:sz w:val="28"/>
          <w:szCs w:val="28"/>
        </w:rPr>
        <w:t>их финансовых продуктов и услуг, которые в свою очередь будут</w:t>
      </w:r>
      <w:r w:rsidR="00046057">
        <w:rPr>
          <w:rFonts w:ascii="Times New Roman" w:hAnsi="Times New Roman" w:cs="Times New Roman"/>
          <w:sz w:val="28"/>
          <w:szCs w:val="28"/>
        </w:rPr>
        <w:t xml:space="preserve"> способствовать финансовой интеграции ЕАЭС.</w:t>
      </w:r>
    </w:p>
    <w:p w:rsidR="00DC6856" w:rsidRPr="00F27427" w:rsidRDefault="00F27427" w:rsidP="000460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A3DB6">
        <w:rPr>
          <w:rFonts w:ascii="Times New Roman" w:hAnsi="Times New Roman" w:cs="Times New Roman"/>
          <w:b/>
          <w:sz w:val="28"/>
          <w:szCs w:val="28"/>
        </w:rPr>
        <w:t>У</w:t>
      </w:r>
      <w:r w:rsidRPr="00F27427">
        <w:rPr>
          <w:rFonts w:ascii="Times New Roman" w:hAnsi="Times New Roman" w:cs="Times New Roman"/>
          <w:b/>
          <w:sz w:val="28"/>
          <w:szCs w:val="28"/>
        </w:rPr>
        <w:t>стойчиво</w:t>
      </w:r>
      <w:r w:rsidR="009A3DB6">
        <w:rPr>
          <w:rFonts w:ascii="Times New Roman" w:hAnsi="Times New Roman" w:cs="Times New Roman"/>
          <w:b/>
          <w:sz w:val="28"/>
          <w:szCs w:val="28"/>
        </w:rPr>
        <w:t>е</w:t>
      </w:r>
      <w:r w:rsidRPr="00F2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FCD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9A3DB6">
        <w:rPr>
          <w:rFonts w:ascii="Times New Roman" w:hAnsi="Times New Roman" w:cs="Times New Roman"/>
          <w:b/>
          <w:sz w:val="28"/>
          <w:szCs w:val="28"/>
        </w:rPr>
        <w:t>е</w:t>
      </w:r>
      <w:r w:rsidR="00A87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427">
        <w:rPr>
          <w:rFonts w:ascii="Times New Roman" w:hAnsi="Times New Roman" w:cs="Times New Roman"/>
          <w:b/>
          <w:sz w:val="28"/>
          <w:szCs w:val="28"/>
        </w:rPr>
        <w:t>развити</w:t>
      </w:r>
      <w:r w:rsidR="009A3DB6">
        <w:rPr>
          <w:rFonts w:ascii="Times New Roman" w:hAnsi="Times New Roman" w:cs="Times New Roman"/>
          <w:b/>
          <w:sz w:val="28"/>
          <w:szCs w:val="28"/>
        </w:rPr>
        <w:t>е</w:t>
      </w:r>
      <w:r w:rsidRPr="00F27427">
        <w:rPr>
          <w:rFonts w:ascii="Times New Roman" w:hAnsi="Times New Roman" w:cs="Times New Roman"/>
          <w:b/>
          <w:sz w:val="28"/>
          <w:szCs w:val="28"/>
        </w:rPr>
        <w:t xml:space="preserve"> в контексте особенностей </w:t>
      </w:r>
      <w:proofErr w:type="spellStart"/>
      <w:r w:rsidRPr="00F27427">
        <w:rPr>
          <w:rFonts w:ascii="Times New Roman" w:hAnsi="Times New Roman" w:cs="Times New Roman"/>
          <w:b/>
          <w:sz w:val="28"/>
          <w:szCs w:val="28"/>
        </w:rPr>
        <w:t>неоконтинентальных</w:t>
      </w:r>
      <w:proofErr w:type="spellEnd"/>
      <w:r w:rsidRPr="00F27427">
        <w:rPr>
          <w:rFonts w:ascii="Times New Roman" w:hAnsi="Times New Roman" w:cs="Times New Roman"/>
          <w:b/>
          <w:sz w:val="28"/>
          <w:szCs w:val="28"/>
        </w:rPr>
        <w:t xml:space="preserve"> финансовых систем</w:t>
      </w:r>
    </w:p>
    <w:p w:rsidR="00305D7A" w:rsidRDefault="003D3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системы стран Союза развиваютс</w:t>
      </w:r>
      <w:r w:rsidR="00B63909"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 w:rsidR="00B63909">
        <w:rPr>
          <w:rFonts w:ascii="Times New Roman" w:hAnsi="Times New Roman" w:cs="Times New Roman"/>
          <w:sz w:val="28"/>
          <w:szCs w:val="28"/>
        </w:rPr>
        <w:t>неоконтинентальной</w:t>
      </w:r>
      <w:proofErr w:type="spellEnd"/>
      <w:r w:rsidR="00B63909">
        <w:rPr>
          <w:rFonts w:ascii="Times New Roman" w:hAnsi="Times New Roman" w:cs="Times New Roman"/>
          <w:sz w:val="28"/>
          <w:szCs w:val="28"/>
        </w:rPr>
        <w:t xml:space="preserve"> модели, для которой </w:t>
      </w:r>
      <w:r w:rsidR="00D45D86">
        <w:rPr>
          <w:rFonts w:ascii="Times New Roman" w:hAnsi="Times New Roman" w:cs="Times New Roman"/>
          <w:sz w:val="28"/>
          <w:szCs w:val="28"/>
        </w:rPr>
        <w:t xml:space="preserve">на фоне институциональных несовершенств </w:t>
      </w:r>
      <w:r w:rsidR="00B63909">
        <w:rPr>
          <w:rFonts w:ascii="Times New Roman" w:hAnsi="Times New Roman" w:cs="Times New Roman"/>
          <w:sz w:val="28"/>
          <w:szCs w:val="28"/>
        </w:rPr>
        <w:t xml:space="preserve">характерны повышенная роль банковского финансирования субъектов хозяйствования и </w:t>
      </w:r>
      <w:r w:rsidR="00B63909" w:rsidRPr="0013614C">
        <w:rPr>
          <w:rFonts w:ascii="Times New Roman" w:hAnsi="Times New Roman" w:cs="Times New Roman"/>
          <w:sz w:val="28"/>
          <w:szCs w:val="28"/>
        </w:rPr>
        <w:t>инвестиционных процессов в экономике [</w:t>
      </w:r>
      <w:r w:rsidR="0013614C" w:rsidRPr="0013614C">
        <w:rPr>
          <w:rFonts w:ascii="Times New Roman" w:hAnsi="Times New Roman" w:cs="Times New Roman"/>
          <w:sz w:val="28"/>
          <w:szCs w:val="28"/>
        </w:rPr>
        <w:t>7</w:t>
      </w:r>
      <w:r w:rsidR="00384E26" w:rsidRPr="0013614C">
        <w:rPr>
          <w:rFonts w:ascii="Times New Roman" w:hAnsi="Times New Roman" w:cs="Times New Roman"/>
          <w:sz w:val="28"/>
          <w:szCs w:val="28"/>
        </w:rPr>
        <w:t>, с. 3</w:t>
      </w:r>
      <w:r w:rsidR="00B63909" w:rsidRPr="0013614C">
        <w:rPr>
          <w:rFonts w:ascii="Times New Roman" w:hAnsi="Times New Roman" w:cs="Times New Roman"/>
          <w:sz w:val="28"/>
          <w:szCs w:val="28"/>
        </w:rPr>
        <w:t xml:space="preserve">; </w:t>
      </w:r>
      <w:r w:rsidR="0013614C" w:rsidRPr="0013614C">
        <w:rPr>
          <w:rFonts w:ascii="Times New Roman" w:hAnsi="Times New Roman" w:cs="Times New Roman"/>
          <w:sz w:val="28"/>
          <w:szCs w:val="28"/>
        </w:rPr>
        <w:t>20; 4</w:t>
      </w:r>
      <w:r w:rsidR="00B63909" w:rsidRPr="0013614C">
        <w:rPr>
          <w:rFonts w:ascii="Times New Roman" w:hAnsi="Times New Roman" w:cs="Times New Roman"/>
          <w:sz w:val="28"/>
          <w:szCs w:val="28"/>
        </w:rPr>
        <w:t xml:space="preserve">]. </w:t>
      </w:r>
      <w:r w:rsidR="0088586E" w:rsidRPr="0013614C">
        <w:rPr>
          <w:rFonts w:ascii="Times New Roman" w:hAnsi="Times New Roman" w:cs="Times New Roman"/>
          <w:sz w:val="28"/>
          <w:szCs w:val="28"/>
        </w:rPr>
        <w:t>Удельный вес банков в</w:t>
      </w:r>
      <w:r w:rsidR="0088586E">
        <w:rPr>
          <w:rFonts w:ascii="Times New Roman" w:hAnsi="Times New Roman" w:cs="Times New Roman"/>
          <w:sz w:val="28"/>
          <w:szCs w:val="28"/>
        </w:rPr>
        <w:t xml:space="preserve"> общем объеме финансовых активов стран ЕАЭС по некоторым оценкам </w:t>
      </w:r>
      <w:r w:rsidR="00C33060">
        <w:rPr>
          <w:rFonts w:ascii="Times New Roman" w:hAnsi="Times New Roman" w:cs="Times New Roman"/>
          <w:sz w:val="28"/>
          <w:szCs w:val="28"/>
        </w:rPr>
        <w:t>приближается к</w:t>
      </w:r>
      <w:r w:rsidR="0088586E">
        <w:rPr>
          <w:rFonts w:ascii="Times New Roman" w:hAnsi="Times New Roman" w:cs="Times New Roman"/>
          <w:sz w:val="28"/>
          <w:szCs w:val="28"/>
        </w:rPr>
        <w:t xml:space="preserve"> 90% </w:t>
      </w:r>
      <w:r w:rsidR="0088586E" w:rsidRPr="0088586E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3</w:t>
      </w:r>
      <w:r w:rsidR="0088586E">
        <w:rPr>
          <w:rFonts w:ascii="Times New Roman" w:hAnsi="Times New Roman" w:cs="Times New Roman"/>
          <w:sz w:val="28"/>
          <w:szCs w:val="28"/>
        </w:rPr>
        <w:t xml:space="preserve">, </w:t>
      </w:r>
      <w:r w:rsidR="00384E26">
        <w:rPr>
          <w:rFonts w:ascii="Times New Roman" w:hAnsi="Times New Roman" w:cs="Times New Roman"/>
          <w:sz w:val="28"/>
          <w:szCs w:val="28"/>
        </w:rPr>
        <w:t>с</w:t>
      </w:r>
      <w:r w:rsidR="0088586E">
        <w:rPr>
          <w:rFonts w:ascii="Times New Roman" w:hAnsi="Times New Roman" w:cs="Times New Roman"/>
          <w:sz w:val="28"/>
          <w:szCs w:val="28"/>
        </w:rPr>
        <w:t>. 94</w:t>
      </w:r>
      <w:r w:rsidR="00384E26">
        <w:rPr>
          <w:rFonts w:ascii="Times New Roman" w:hAnsi="Times New Roman" w:cs="Times New Roman"/>
          <w:sz w:val="28"/>
          <w:szCs w:val="28"/>
        </w:rPr>
        <w:t>; 1</w:t>
      </w:r>
      <w:r w:rsidR="0013614C">
        <w:rPr>
          <w:rFonts w:ascii="Times New Roman" w:hAnsi="Times New Roman" w:cs="Times New Roman"/>
          <w:sz w:val="28"/>
          <w:szCs w:val="28"/>
        </w:rPr>
        <w:t>2</w:t>
      </w:r>
      <w:r w:rsidR="00384E26">
        <w:rPr>
          <w:rFonts w:ascii="Times New Roman" w:hAnsi="Times New Roman" w:cs="Times New Roman"/>
          <w:sz w:val="28"/>
          <w:szCs w:val="28"/>
        </w:rPr>
        <w:t>, с. 14</w:t>
      </w:r>
      <w:r w:rsidR="0088586E" w:rsidRPr="0088586E">
        <w:rPr>
          <w:rFonts w:ascii="Times New Roman" w:hAnsi="Times New Roman" w:cs="Times New Roman"/>
          <w:sz w:val="28"/>
          <w:szCs w:val="28"/>
        </w:rPr>
        <w:t>]</w:t>
      </w:r>
      <w:r w:rsidR="0088586E">
        <w:rPr>
          <w:rFonts w:ascii="Times New Roman" w:hAnsi="Times New Roman" w:cs="Times New Roman"/>
          <w:sz w:val="28"/>
          <w:szCs w:val="28"/>
        </w:rPr>
        <w:t xml:space="preserve">. </w:t>
      </w:r>
      <w:r w:rsidR="00B63909">
        <w:rPr>
          <w:rFonts w:ascii="Times New Roman" w:hAnsi="Times New Roman" w:cs="Times New Roman"/>
          <w:sz w:val="28"/>
          <w:szCs w:val="28"/>
        </w:rPr>
        <w:t>Финансовые рынки и небанковские финансовые посредн</w:t>
      </w:r>
      <w:r w:rsidR="0088586E">
        <w:rPr>
          <w:rFonts w:ascii="Times New Roman" w:hAnsi="Times New Roman" w:cs="Times New Roman"/>
          <w:sz w:val="28"/>
          <w:szCs w:val="28"/>
        </w:rPr>
        <w:t xml:space="preserve">ики развиты значительно слабее </w:t>
      </w:r>
      <w:r w:rsidR="00B63909" w:rsidRPr="00384E26">
        <w:rPr>
          <w:rFonts w:ascii="Times New Roman" w:hAnsi="Times New Roman" w:cs="Times New Roman"/>
          <w:sz w:val="28"/>
          <w:szCs w:val="28"/>
        </w:rPr>
        <w:t>[</w:t>
      </w:r>
      <w:r w:rsidR="00384E26" w:rsidRP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3</w:t>
      </w:r>
      <w:r w:rsidR="00B74B7A" w:rsidRPr="00384E26">
        <w:rPr>
          <w:rFonts w:ascii="Times New Roman" w:hAnsi="Times New Roman" w:cs="Times New Roman"/>
          <w:sz w:val="28"/>
          <w:szCs w:val="28"/>
        </w:rPr>
        <w:t xml:space="preserve">, с. 94-95; </w:t>
      </w:r>
      <w:r w:rsidR="0013614C">
        <w:rPr>
          <w:rFonts w:ascii="Times New Roman" w:hAnsi="Times New Roman" w:cs="Times New Roman"/>
          <w:sz w:val="28"/>
          <w:szCs w:val="28"/>
        </w:rPr>
        <w:t>8</w:t>
      </w:r>
      <w:r w:rsidR="00305D7A" w:rsidRPr="00384E26">
        <w:rPr>
          <w:rFonts w:ascii="Times New Roman" w:hAnsi="Times New Roman" w:cs="Times New Roman"/>
          <w:sz w:val="28"/>
          <w:szCs w:val="28"/>
        </w:rPr>
        <w:t xml:space="preserve">, с. 6, 8; </w:t>
      </w:r>
      <w:r w:rsidR="0013614C">
        <w:rPr>
          <w:rFonts w:ascii="Times New Roman" w:hAnsi="Times New Roman" w:cs="Times New Roman"/>
          <w:sz w:val="28"/>
          <w:szCs w:val="28"/>
        </w:rPr>
        <w:t>9, с. </w:t>
      </w:r>
      <w:r w:rsidR="00A40834" w:rsidRPr="00384E26">
        <w:rPr>
          <w:rFonts w:ascii="Times New Roman" w:hAnsi="Times New Roman" w:cs="Times New Roman"/>
          <w:sz w:val="28"/>
          <w:szCs w:val="28"/>
        </w:rPr>
        <w:t>6</w:t>
      </w:r>
      <w:r w:rsidR="00B74B7A" w:rsidRPr="00384E26">
        <w:rPr>
          <w:rFonts w:ascii="Times New Roman" w:hAnsi="Times New Roman" w:cs="Times New Roman"/>
          <w:sz w:val="28"/>
          <w:szCs w:val="28"/>
        </w:rPr>
        <w:t xml:space="preserve">; </w:t>
      </w:r>
      <w:r w:rsidR="00384E26" w:rsidRP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2</w:t>
      </w:r>
      <w:r w:rsidR="00384E26" w:rsidRPr="00384E26">
        <w:rPr>
          <w:rFonts w:ascii="Times New Roman" w:hAnsi="Times New Roman" w:cs="Times New Roman"/>
          <w:sz w:val="28"/>
          <w:szCs w:val="28"/>
        </w:rPr>
        <w:t>, с. 14</w:t>
      </w:r>
      <w:r w:rsidR="00B63909" w:rsidRPr="00384E26">
        <w:rPr>
          <w:rFonts w:ascii="Times New Roman" w:hAnsi="Times New Roman" w:cs="Times New Roman"/>
          <w:sz w:val="28"/>
          <w:szCs w:val="28"/>
        </w:rPr>
        <w:t>].</w:t>
      </w:r>
      <w:r w:rsidR="00E1331F" w:rsidRPr="00384E26">
        <w:rPr>
          <w:rFonts w:ascii="Times New Roman" w:hAnsi="Times New Roman" w:cs="Times New Roman"/>
          <w:sz w:val="28"/>
          <w:szCs w:val="28"/>
        </w:rPr>
        <w:t xml:space="preserve"> </w:t>
      </w:r>
      <w:r w:rsidR="0088586E" w:rsidRPr="00384E26">
        <w:rPr>
          <w:rFonts w:ascii="Times New Roman" w:hAnsi="Times New Roman" w:cs="Times New Roman"/>
          <w:sz w:val="28"/>
          <w:szCs w:val="28"/>
        </w:rPr>
        <w:t>Таким образом,</w:t>
      </w:r>
      <w:r w:rsidR="00254735" w:rsidRPr="00384E26">
        <w:rPr>
          <w:rFonts w:ascii="Times New Roman" w:hAnsi="Times New Roman" w:cs="Times New Roman"/>
          <w:sz w:val="28"/>
          <w:szCs w:val="28"/>
        </w:rPr>
        <w:t xml:space="preserve"> канал цен на активы</w:t>
      </w:r>
      <w:r w:rsidR="00254735">
        <w:rPr>
          <w:rFonts w:ascii="Times New Roman" w:hAnsi="Times New Roman" w:cs="Times New Roman"/>
          <w:sz w:val="28"/>
          <w:szCs w:val="28"/>
        </w:rPr>
        <w:t xml:space="preserve"> фактически не оказывает воздействия на экономический рост </w:t>
      </w:r>
      <w:r w:rsidR="00254735" w:rsidRPr="00254735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254735">
        <w:rPr>
          <w:rFonts w:ascii="Times New Roman" w:hAnsi="Times New Roman" w:cs="Times New Roman"/>
          <w:sz w:val="28"/>
          <w:szCs w:val="28"/>
        </w:rPr>
        <w:t>, с. 29</w:t>
      </w:r>
      <w:r w:rsidR="00254735" w:rsidRPr="00254735">
        <w:rPr>
          <w:rFonts w:ascii="Times New Roman" w:hAnsi="Times New Roman" w:cs="Times New Roman"/>
          <w:sz w:val="28"/>
          <w:szCs w:val="28"/>
        </w:rPr>
        <w:t>]</w:t>
      </w:r>
      <w:r w:rsidR="00254735">
        <w:rPr>
          <w:rFonts w:ascii="Times New Roman" w:hAnsi="Times New Roman" w:cs="Times New Roman"/>
          <w:sz w:val="28"/>
          <w:szCs w:val="28"/>
        </w:rPr>
        <w:t xml:space="preserve">. </w:t>
      </w:r>
      <w:r w:rsidR="00E1331F">
        <w:rPr>
          <w:rFonts w:ascii="Times New Roman" w:hAnsi="Times New Roman" w:cs="Times New Roman"/>
          <w:sz w:val="28"/>
          <w:szCs w:val="28"/>
        </w:rPr>
        <w:t>При этом</w:t>
      </w:r>
      <w:r w:rsidR="00254735">
        <w:rPr>
          <w:rFonts w:ascii="Times New Roman" w:hAnsi="Times New Roman" w:cs="Times New Roman"/>
          <w:sz w:val="28"/>
          <w:szCs w:val="28"/>
        </w:rPr>
        <w:t xml:space="preserve"> еще раз подчеркнем, что</w:t>
      </w:r>
      <w:r w:rsidR="004E445C">
        <w:rPr>
          <w:rFonts w:ascii="Times New Roman" w:hAnsi="Times New Roman" w:cs="Times New Roman"/>
          <w:sz w:val="28"/>
          <w:szCs w:val="28"/>
        </w:rPr>
        <w:t xml:space="preserve"> </w:t>
      </w:r>
      <w:r w:rsidR="009C78B8">
        <w:rPr>
          <w:rFonts w:ascii="Times New Roman" w:hAnsi="Times New Roman" w:cs="Times New Roman"/>
          <w:sz w:val="28"/>
          <w:szCs w:val="28"/>
        </w:rPr>
        <w:t xml:space="preserve">отмеченные особенности приобретают </w:t>
      </w:r>
      <w:r w:rsidR="009861B4">
        <w:rPr>
          <w:rFonts w:ascii="Times New Roman" w:hAnsi="Times New Roman" w:cs="Times New Roman"/>
          <w:sz w:val="28"/>
          <w:szCs w:val="28"/>
        </w:rPr>
        <w:t xml:space="preserve">в странах Союза </w:t>
      </w:r>
      <w:r w:rsidR="009C78B8">
        <w:rPr>
          <w:rFonts w:ascii="Times New Roman" w:hAnsi="Times New Roman" w:cs="Times New Roman"/>
          <w:sz w:val="28"/>
          <w:szCs w:val="28"/>
        </w:rPr>
        <w:t>все более отчетливый характер</w:t>
      </w:r>
      <w:r w:rsidR="00E1331F">
        <w:rPr>
          <w:rFonts w:ascii="Times New Roman" w:hAnsi="Times New Roman" w:cs="Times New Roman"/>
          <w:sz w:val="28"/>
          <w:szCs w:val="28"/>
        </w:rPr>
        <w:t xml:space="preserve"> (</w:t>
      </w:r>
      <w:r w:rsidR="009861B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1331F">
        <w:rPr>
          <w:rFonts w:ascii="Times New Roman" w:hAnsi="Times New Roman" w:cs="Times New Roman"/>
          <w:sz w:val="28"/>
          <w:szCs w:val="28"/>
        </w:rPr>
        <w:t>см. рис. 1).</w:t>
      </w:r>
    </w:p>
    <w:p w:rsidR="00B63909" w:rsidRDefault="00B639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банковские системы </w:t>
      </w:r>
      <w:r w:rsidR="00C218BC">
        <w:rPr>
          <w:rFonts w:ascii="Times New Roman" w:hAnsi="Times New Roman" w:cs="Times New Roman"/>
          <w:sz w:val="28"/>
          <w:szCs w:val="28"/>
        </w:rPr>
        <w:t xml:space="preserve">ЕАЭС </w:t>
      </w:r>
      <w:r>
        <w:rPr>
          <w:rFonts w:ascii="Times New Roman" w:hAnsi="Times New Roman" w:cs="Times New Roman"/>
          <w:sz w:val="28"/>
          <w:szCs w:val="28"/>
        </w:rPr>
        <w:t>имеют высокую</w:t>
      </w:r>
      <w:r w:rsidR="00C218BC">
        <w:rPr>
          <w:rFonts w:ascii="Times New Roman" w:hAnsi="Times New Roman" w:cs="Times New Roman"/>
          <w:sz w:val="28"/>
          <w:szCs w:val="28"/>
        </w:rPr>
        <w:t xml:space="preserve"> (в России) и сверхвысокую (в других странах)</w:t>
      </w:r>
      <w:r>
        <w:rPr>
          <w:rFonts w:ascii="Times New Roman" w:hAnsi="Times New Roman" w:cs="Times New Roman"/>
          <w:sz w:val="28"/>
          <w:szCs w:val="28"/>
        </w:rPr>
        <w:t xml:space="preserve"> концентрацию</w:t>
      </w:r>
      <w:r w:rsidR="009861B4">
        <w:rPr>
          <w:rFonts w:ascii="Times New Roman" w:hAnsi="Times New Roman" w:cs="Times New Roman"/>
          <w:sz w:val="28"/>
          <w:szCs w:val="28"/>
        </w:rPr>
        <w:t>, что снижает оценку их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0834">
        <w:rPr>
          <w:rFonts w:ascii="Times New Roman" w:hAnsi="Times New Roman" w:cs="Times New Roman"/>
          <w:sz w:val="28"/>
          <w:szCs w:val="28"/>
        </w:rPr>
        <w:t xml:space="preserve">Количество банков в странах Союза неуклонно сокращается </w:t>
      </w:r>
      <w:r w:rsidR="00A40834" w:rsidRPr="00A40834">
        <w:rPr>
          <w:rFonts w:ascii="Times New Roman" w:hAnsi="Times New Roman" w:cs="Times New Roman"/>
          <w:sz w:val="28"/>
          <w:szCs w:val="28"/>
        </w:rPr>
        <w:t>[</w:t>
      </w:r>
      <w:r w:rsidR="0013614C">
        <w:rPr>
          <w:rFonts w:ascii="Times New Roman" w:hAnsi="Times New Roman" w:cs="Times New Roman"/>
          <w:sz w:val="28"/>
          <w:szCs w:val="28"/>
        </w:rPr>
        <w:t>8</w:t>
      </w:r>
      <w:r w:rsidR="00BC6F92">
        <w:rPr>
          <w:rFonts w:ascii="Times New Roman" w:hAnsi="Times New Roman" w:cs="Times New Roman"/>
          <w:sz w:val="28"/>
          <w:szCs w:val="28"/>
        </w:rPr>
        <w:t xml:space="preserve">, с. 6; </w:t>
      </w:r>
      <w:r w:rsidR="0013614C">
        <w:rPr>
          <w:rFonts w:ascii="Times New Roman" w:hAnsi="Times New Roman" w:cs="Times New Roman"/>
          <w:sz w:val="28"/>
          <w:szCs w:val="28"/>
        </w:rPr>
        <w:t>9</w:t>
      </w:r>
      <w:r w:rsidR="00A40834">
        <w:rPr>
          <w:rFonts w:ascii="Times New Roman" w:hAnsi="Times New Roman" w:cs="Times New Roman"/>
          <w:sz w:val="28"/>
          <w:szCs w:val="28"/>
        </w:rPr>
        <w:t>, с. 6</w:t>
      </w:r>
      <w:r w:rsidR="00A40834" w:rsidRPr="00A40834">
        <w:rPr>
          <w:rFonts w:ascii="Times New Roman" w:hAnsi="Times New Roman" w:cs="Times New Roman"/>
          <w:sz w:val="28"/>
          <w:szCs w:val="28"/>
        </w:rPr>
        <w:t>]</w:t>
      </w:r>
      <w:r w:rsidR="00A40834">
        <w:rPr>
          <w:rFonts w:ascii="Times New Roman" w:hAnsi="Times New Roman" w:cs="Times New Roman"/>
          <w:sz w:val="28"/>
          <w:szCs w:val="28"/>
        </w:rPr>
        <w:t>, а концен</w:t>
      </w:r>
      <w:r w:rsidR="00271662">
        <w:rPr>
          <w:rFonts w:ascii="Times New Roman" w:hAnsi="Times New Roman" w:cs="Times New Roman"/>
          <w:sz w:val="28"/>
          <w:szCs w:val="28"/>
        </w:rPr>
        <w:t xml:space="preserve">трация активов – увеличивается </w:t>
      </w:r>
      <w:r w:rsidR="00C218BC">
        <w:rPr>
          <w:rFonts w:ascii="Times New Roman" w:hAnsi="Times New Roman" w:cs="Times New Roman"/>
          <w:sz w:val="28"/>
          <w:szCs w:val="28"/>
        </w:rPr>
        <w:t>(рис. 2).</w:t>
      </w:r>
    </w:p>
    <w:p w:rsidR="00C218BC" w:rsidRDefault="00C218BC" w:rsidP="00C2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69F015" wp14:editId="0E2C14CC">
            <wp:extent cx="6035040" cy="1820174"/>
            <wp:effectExtent l="0" t="0" r="381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18BC" w:rsidRPr="00B46AAA" w:rsidRDefault="00C218BC" w:rsidP="00C2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Удельный вес финансовых активов, приходящийся на 5 крупнейших банков, % в общей сумме банковских активов</w:t>
      </w:r>
      <w:r w:rsidR="00B46AAA">
        <w:rPr>
          <w:rFonts w:ascii="Times New Roman" w:hAnsi="Times New Roman" w:cs="Times New Roman"/>
          <w:sz w:val="28"/>
          <w:szCs w:val="28"/>
        </w:rPr>
        <w:t xml:space="preserve"> </w:t>
      </w:r>
      <w:r w:rsidR="00B46AAA" w:rsidRPr="00B46AAA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сост. по: 2</w:t>
      </w:r>
      <w:r w:rsidR="0013614C">
        <w:rPr>
          <w:rFonts w:ascii="Times New Roman" w:hAnsi="Times New Roman" w:cs="Times New Roman"/>
          <w:sz w:val="28"/>
          <w:szCs w:val="28"/>
        </w:rPr>
        <w:t>2</w:t>
      </w:r>
      <w:r w:rsidR="00B46AAA" w:rsidRPr="00B46AAA">
        <w:rPr>
          <w:rFonts w:ascii="Times New Roman" w:hAnsi="Times New Roman" w:cs="Times New Roman"/>
          <w:sz w:val="28"/>
          <w:szCs w:val="28"/>
        </w:rPr>
        <w:t>]</w:t>
      </w:r>
    </w:p>
    <w:p w:rsidR="00C218BC" w:rsidRDefault="00B74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Суммируя вышесказанное, можно сделать вывод</w:t>
      </w:r>
      <w:r w:rsidR="0088586E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88586E">
        <w:rPr>
          <w:rFonts w:ascii="Times New Roman" w:hAnsi="Times New Roman" w:cs="Times New Roman"/>
          <w:sz w:val="28"/>
          <w:szCs w:val="28"/>
        </w:rPr>
        <w:t xml:space="preserve"> основная </w:t>
      </w:r>
      <w:r>
        <w:rPr>
          <w:rFonts w:ascii="Times New Roman" w:hAnsi="Times New Roman" w:cs="Times New Roman"/>
          <w:sz w:val="28"/>
          <w:szCs w:val="28"/>
        </w:rPr>
        <w:t xml:space="preserve">доля финансовых активов ЕАЭС </w:t>
      </w:r>
      <w:r w:rsidR="0088586E">
        <w:rPr>
          <w:rFonts w:ascii="Times New Roman" w:hAnsi="Times New Roman" w:cs="Times New Roman"/>
          <w:sz w:val="28"/>
          <w:szCs w:val="28"/>
        </w:rPr>
        <w:t xml:space="preserve">аккумулируется </w:t>
      </w:r>
      <w:r>
        <w:rPr>
          <w:rFonts w:ascii="Times New Roman" w:hAnsi="Times New Roman" w:cs="Times New Roman"/>
          <w:sz w:val="28"/>
          <w:szCs w:val="28"/>
        </w:rPr>
        <w:t>крупнейши</w:t>
      </w:r>
      <w:r w:rsidR="0088586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банки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Федерации. </w:t>
      </w:r>
      <w:r w:rsidR="009861B4">
        <w:rPr>
          <w:rFonts w:ascii="Times New Roman" w:hAnsi="Times New Roman" w:cs="Times New Roman"/>
          <w:sz w:val="28"/>
          <w:szCs w:val="28"/>
        </w:rPr>
        <w:t>В контексте исследуемой проблематики это означает, что</w:t>
      </w:r>
      <w:r w:rsidR="00C218BC">
        <w:rPr>
          <w:rFonts w:ascii="Times New Roman" w:hAnsi="Times New Roman" w:cs="Times New Roman"/>
          <w:sz w:val="28"/>
          <w:szCs w:val="28"/>
        </w:rPr>
        <w:t xml:space="preserve"> успех устойчивого финансового рынка ЕАЭС будет во многом зависеть от того, какую роль </w:t>
      </w:r>
      <w:r w:rsidR="0088586E">
        <w:rPr>
          <w:rFonts w:ascii="Times New Roman" w:hAnsi="Times New Roman" w:cs="Times New Roman"/>
          <w:sz w:val="28"/>
          <w:szCs w:val="28"/>
        </w:rPr>
        <w:t xml:space="preserve">данные банки будут </w:t>
      </w:r>
      <w:r w:rsidR="00C218BC">
        <w:rPr>
          <w:rFonts w:ascii="Times New Roman" w:hAnsi="Times New Roman" w:cs="Times New Roman"/>
          <w:sz w:val="28"/>
          <w:szCs w:val="28"/>
        </w:rPr>
        <w:t>играть</w:t>
      </w:r>
      <w:r w:rsidR="0088586E">
        <w:rPr>
          <w:rFonts w:ascii="Times New Roman" w:hAnsi="Times New Roman" w:cs="Times New Roman"/>
          <w:sz w:val="28"/>
          <w:szCs w:val="28"/>
        </w:rPr>
        <w:t xml:space="preserve"> во внедрении новых принципов</w:t>
      </w:r>
      <w:r w:rsidR="00C218BC">
        <w:rPr>
          <w:rFonts w:ascii="Times New Roman" w:hAnsi="Times New Roman" w:cs="Times New Roman"/>
          <w:sz w:val="28"/>
          <w:szCs w:val="28"/>
        </w:rPr>
        <w:t>, и будут ли восприняты ими принципы устойчивой финансовой деятельности.</w:t>
      </w:r>
      <w:r w:rsidR="00E135AA">
        <w:rPr>
          <w:rFonts w:ascii="Times New Roman" w:hAnsi="Times New Roman" w:cs="Times New Roman"/>
          <w:sz w:val="28"/>
          <w:szCs w:val="28"/>
        </w:rPr>
        <w:t xml:space="preserve"> </w:t>
      </w:r>
      <w:r w:rsidR="0088586E">
        <w:rPr>
          <w:rFonts w:ascii="Times New Roman" w:hAnsi="Times New Roman" w:cs="Times New Roman"/>
          <w:sz w:val="28"/>
          <w:szCs w:val="28"/>
        </w:rPr>
        <w:t xml:space="preserve">Впрочем, перспективы активной поддержки этой инициативы </w:t>
      </w:r>
      <w:r w:rsidR="00B77F98">
        <w:rPr>
          <w:rFonts w:ascii="Times New Roman" w:hAnsi="Times New Roman" w:cs="Times New Roman"/>
          <w:sz w:val="28"/>
          <w:szCs w:val="28"/>
        </w:rPr>
        <w:t xml:space="preserve">пока </w:t>
      </w:r>
      <w:r w:rsidR="0088586E">
        <w:rPr>
          <w:rFonts w:ascii="Times New Roman" w:hAnsi="Times New Roman" w:cs="Times New Roman"/>
          <w:sz w:val="28"/>
          <w:szCs w:val="28"/>
        </w:rPr>
        <w:t>сомнительны.</w:t>
      </w:r>
      <w:r w:rsidR="00A614F6">
        <w:rPr>
          <w:rFonts w:ascii="Times New Roman" w:hAnsi="Times New Roman" w:cs="Times New Roman"/>
          <w:sz w:val="28"/>
          <w:szCs w:val="28"/>
        </w:rPr>
        <w:t xml:space="preserve"> </w:t>
      </w:r>
      <w:r w:rsidR="0088586E">
        <w:rPr>
          <w:rFonts w:ascii="Times New Roman" w:hAnsi="Times New Roman" w:cs="Times New Roman"/>
          <w:sz w:val="28"/>
          <w:szCs w:val="28"/>
        </w:rPr>
        <w:t xml:space="preserve">В </w:t>
      </w:r>
      <w:r w:rsidR="00A614F6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291C2A">
        <w:rPr>
          <w:rFonts w:ascii="Times New Roman" w:hAnsi="Times New Roman" w:cs="Times New Roman"/>
          <w:sz w:val="28"/>
          <w:szCs w:val="28"/>
        </w:rPr>
        <w:t>ни один из банков ЕАЭС</w:t>
      </w:r>
      <w:r w:rsidR="00B77F98">
        <w:rPr>
          <w:rFonts w:ascii="Times New Roman" w:hAnsi="Times New Roman" w:cs="Times New Roman"/>
          <w:sz w:val="28"/>
          <w:szCs w:val="28"/>
        </w:rPr>
        <w:t xml:space="preserve"> </w:t>
      </w:r>
      <w:r w:rsidR="00A614F6">
        <w:rPr>
          <w:rFonts w:ascii="Times New Roman" w:hAnsi="Times New Roman" w:cs="Times New Roman"/>
          <w:sz w:val="28"/>
          <w:szCs w:val="28"/>
        </w:rPr>
        <w:t>не присоединил</w:t>
      </w:r>
      <w:r w:rsidR="00291C2A">
        <w:rPr>
          <w:rFonts w:ascii="Times New Roman" w:hAnsi="Times New Roman" w:cs="Times New Roman"/>
          <w:sz w:val="28"/>
          <w:szCs w:val="28"/>
        </w:rPr>
        <w:t>ся</w:t>
      </w:r>
      <w:r w:rsidR="00A614F6">
        <w:rPr>
          <w:rFonts w:ascii="Times New Roman" w:hAnsi="Times New Roman" w:cs="Times New Roman"/>
          <w:sz w:val="28"/>
          <w:szCs w:val="28"/>
        </w:rPr>
        <w:t xml:space="preserve"> к принципам Экватора </w:t>
      </w:r>
      <w:r w:rsidR="0021658C" w:rsidRPr="0021658C">
        <w:rPr>
          <w:rFonts w:ascii="Times New Roman" w:hAnsi="Times New Roman" w:cs="Times New Roman"/>
          <w:sz w:val="28"/>
          <w:szCs w:val="28"/>
        </w:rPr>
        <w:t>[</w:t>
      </w:r>
      <w:r w:rsidR="00384E26">
        <w:rPr>
          <w:rFonts w:ascii="Times New Roman" w:hAnsi="Times New Roman" w:cs="Times New Roman"/>
          <w:sz w:val="28"/>
          <w:szCs w:val="28"/>
        </w:rPr>
        <w:t>2</w:t>
      </w:r>
      <w:r w:rsidR="0013614C">
        <w:rPr>
          <w:rFonts w:ascii="Times New Roman" w:hAnsi="Times New Roman" w:cs="Times New Roman"/>
          <w:sz w:val="28"/>
          <w:szCs w:val="28"/>
        </w:rPr>
        <w:t>1</w:t>
      </w:r>
      <w:r w:rsidR="0021658C" w:rsidRPr="0021658C">
        <w:rPr>
          <w:rFonts w:ascii="Times New Roman" w:hAnsi="Times New Roman" w:cs="Times New Roman"/>
          <w:sz w:val="28"/>
          <w:szCs w:val="28"/>
        </w:rPr>
        <w:t>]</w:t>
      </w:r>
      <w:r w:rsidR="00291C2A">
        <w:rPr>
          <w:rFonts w:ascii="Times New Roman" w:hAnsi="Times New Roman" w:cs="Times New Roman"/>
          <w:sz w:val="28"/>
          <w:szCs w:val="28"/>
        </w:rPr>
        <w:t>, что препятствует ответственному проектному финансированию и эффективному управлению экологическими и социальными рисками масштабных инвестиционных проектов, которые могут являться действенным драйвером финансовой интеграции.</w:t>
      </w:r>
    </w:p>
    <w:p w:rsidR="00C517E9" w:rsidRDefault="0087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r w:rsidR="004E445C">
        <w:rPr>
          <w:rFonts w:ascii="Times New Roman" w:hAnsi="Times New Roman" w:cs="Times New Roman"/>
          <w:sz w:val="28"/>
          <w:szCs w:val="28"/>
        </w:rPr>
        <w:t xml:space="preserve">следует присмотреться и к другим особенностям </w:t>
      </w:r>
      <w:proofErr w:type="spellStart"/>
      <w:r w:rsidR="00C218BC">
        <w:rPr>
          <w:rFonts w:ascii="Times New Roman" w:hAnsi="Times New Roman" w:cs="Times New Roman"/>
          <w:sz w:val="28"/>
          <w:szCs w:val="28"/>
        </w:rPr>
        <w:t>неоконтинентальн</w:t>
      </w:r>
      <w:r w:rsidR="004E445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E445C">
        <w:rPr>
          <w:rFonts w:ascii="Times New Roman" w:hAnsi="Times New Roman" w:cs="Times New Roman"/>
          <w:sz w:val="28"/>
          <w:szCs w:val="28"/>
        </w:rPr>
        <w:t xml:space="preserve"> финансовых систем, которые могут способствовать устойчивому развитию финансового рынка ЕАЭС альтернативным способом. К 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4E445C">
        <w:rPr>
          <w:rFonts w:ascii="Times New Roman" w:hAnsi="Times New Roman" w:cs="Times New Roman"/>
          <w:sz w:val="28"/>
          <w:szCs w:val="28"/>
        </w:rPr>
        <w:t xml:space="preserve"> </w:t>
      </w:r>
      <w:r w:rsidR="009861B4">
        <w:rPr>
          <w:rFonts w:ascii="Times New Roman" w:hAnsi="Times New Roman" w:cs="Times New Roman"/>
          <w:sz w:val="28"/>
          <w:szCs w:val="28"/>
        </w:rPr>
        <w:t>относится</w:t>
      </w:r>
      <w:r w:rsidR="00C218BC">
        <w:rPr>
          <w:rFonts w:ascii="Times New Roman" w:hAnsi="Times New Roman" w:cs="Times New Roman"/>
          <w:sz w:val="28"/>
          <w:szCs w:val="28"/>
        </w:rPr>
        <w:t xml:space="preserve"> </w:t>
      </w:r>
      <w:r w:rsidR="003D3E6B">
        <w:rPr>
          <w:rFonts w:ascii="Times New Roman" w:hAnsi="Times New Roman" w:cs="Times New Roman"/>
          <w:sz w:val="28"/>
          <w:szCs w:val="28"/>
        </w:rPr>
        <w:t>ведущ</w:t>
      </w:r>
      <w:r w:rsidR="009861B4">
        <w:rPr>
          <w:rFonts w:ascii="Times New Roman" w:hAnsi="Times New Roman" w:cs="Times New Roman"/>
          <w:sz w:val="28"/>
          <w:szCs w:val="28"/>
        </w:rPr>
        <w:t>ая</w:t>
      </w:r>
      <w:r w:rsidR="003D3E6B">
        <w:rPr>
          <w:rFonts w:ascii="Times New Roman" w:hAnsi="Times New Roman" w:cs="Times New Roman"/>
          <w:sz w:val="28"/>
          <w:szCs w:val="28"/>
        </w:rPr>
        <w:t xml:space="preserve"> роль государства в </w:t>
      </w:r>
      <w:r w:rsidR="00C218BC">
        <w:rPr>
          <w:rFonts w:ascii="Times New Roman" w:hAnsi="Times New Roman" w:cs="Times New Roman"/>
          <w:sz w:val="28"/>
          <w:szCs w:val="28"/>
        </w:rPr>
        <w:t xml:space="preserve">регулировании и финансировании </w:t>
      </w:r>
      <w:r w:rsidR="003D3E6B">
        <w:rPr>
          <w:rFonts w:ascii="Times New Roman" w:hAnsi="Times New Roman" w:cs="Times New Roman"/>
          <w:sz w:val="28"/>
          <w:szCs w:val="28"/>
        </w:rPr>
        <w:t>инвестиционных процесс</w:t>
      </w:r>
      <w:r w:rsidR="00C218BC">
        <w:rPr>
          <w:rFonts w:ascii="Times New Roman" w:hAnsi="Times New Roman" w:cs="Times New Roman"/>
          <w:sz w:val="28"/>
          <w:szCs w:val="28"/>
        </w:rPr>
        <w:t>ов</w:t>
      </w:r>
      <w:r w:rsidR="00577CB1">
        <w:rPr>
          <w:rFonts w:ascii="Times New Roman" w:hAnsi="Times New Roman" w:cs="Times New Roman"/>
          <w:sz w:val="28"/>
          <w:szCs w:val="28"/>
        </w:rPr>
        <w:t xml:space="preserve">, что, с одной стороны, снижает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577CB1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577CB1" w:rsidRPr="00291C2A">
        <w:rPr>
          <w:rFonts w:ascii="Times New Roman" w:hAnsi="Times New Roman" w:cs="Times New Roman"/>
          <w:sz w:val="28"/>
          <w:szCs w:val="28"/>
        </w:rPr>
        <w:t>[</w:t>
      </w:r>
      <w:r w:rsidR="0013614C">
        <w:rPr>
          <w:rFonts w:ascii="Times New Roman" w:hAnsi="Times New Roman" w:cs="Times New Roman"/>
          <w:sz w:val="28"/>
          <w:szCs w:val="28"/>
        </w:rPr>
        <w:t>10</w:t>
      </w:r>
      <w:r w:rsidR="00577CB1" w:rsidRPr="00291C2A">
        <w:rPr>
          <w:rFonts w:ascii="Times New Roman" w:hAnsi="Times New Roman" w:cs="Times New Roman"/>
          <w:sz w:val="28"/>
          <w:szCs w:val="28"/>
        </w:rPr>
        <w:t>]</w:t>
      </w:r>
      <w:r w:rsidR="009861B4">
        <w:rPr>
          <w:rFonts w:ascii="Times New Roman" w:hAnsi="Times New Roman" w:cs="Times New Roman"/>
          <w:sz w:val="28"/>
          <w:szCs w:val="28"/>
        </w:rPr>
        <w:t xml:space="preserve">, но, с другой, имеет </w:t>
      </w:r>
      <w:r w:rsidR="003D3E6B">
        <w:rPr>
          <w:rFonts w:ascii="Times New Roman" w:hAnsi="Times New Roman" w:cs="Times New Roman"/>
          <w:sz w:val="28"/>
          <w:szCs w:val="28"/>
        </w:rPr>
        <w:t xml:space="preserve">свои преимущества в реализации модели устойчивого </w:t>
      </w:r>
      <w:r w:rsidR="004E445C">
        <w:rPr>
          <w:rFonts w:ascii="Times New Roman" w:hAnsi="Times New Roman" w:cs="Times New Roman"/>
          <w:sz w:val="28"/>
          <w:szCs w:val="28"/>
        </w:rPr>
        <w:t>финансового развития</w:t>
      </w:r>
      <w:r w:rsidR="00C517E9">
        <w:rPr>
          <w:rFonts w:ascii="Times New Roman" w:hAnsi="Times New Roman" w:cs="Times New Roman"/>
          <w:sz w:val="28"/>
          <w:szCs w:val="28"/>
        </w:rPr>
        <w:t>.</w:t>
      </w:r>
      <w:r w:rsidR="00B7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B77F98">
        <w:rPr>
          <w:rFonts w:ascii="Times New Roman" w:hAnsi="Times New Roman" w:cs="Times New Roman"/>
          <w:sz w:val="28"/>
          <w:szCs w:val="28"/>
        </w:rPr>
        <w:t xml:space="preserve">, государство напрямую или </w:t>
      </w:r>
      <w:r w:rsidR="0012021C">
        <w:rPr>
          <w:rFonts w:ascii="Times New Roman" w:hAnsi="Times New Roman" w:cs="Times New Roman"/>
          <w:sz w:val="28"/>
          <w:szCs w:val="28"/>
        </w:rPr>
        <w:t xml:space="preserve">косвенно </w:t>
      </w:r>
      <w:r w:rsidR="00B77F98">
        <w:rPr>
          <w:rFonts w:ascii="Times New Roman" w:hAnsi="Times New Roman" w:cs="Times New Roman"/>
          <w:sz w:val="28"/>
          <w:szCs w:val="28"/>
        </w:rPr>
        <w:t>является</w:t>
      </w:r>
      <w:r w:rsidR="0012021C">
        <w:rPr>
          <w:rFonts w:ascii="Times New Roman" w:hAnsi="Times New Roman" w:cs="Times New Roman"/>
          <w:sz w:val="28"/>
          <w:szCs w:val="28"/>
        </w:rPr>
        <w:t xml:space="preserve"> </w:t>
      </w:r>
      <w:r w:rsidR="00271662">
        <w:rPr>
          <w:rFonts w:ascii="Times New Roman" w:hAnsi="Times New Roman" w:cs="Times New Roman"/>
          <w:sz w:val="28"/>
          <w:szCs w:val="28"/>
        </w:rPr>
        <w:t>крупнейшим</w:t>
      </w:r>
      <w:r w:rsidR="00B77F98">
        <w:rPr>
          <w:rFonts w:ascii="Times New Roman" w:hAnsi="Times New Roman" w:cs="Times New Roman"/>
          <w:sz w:val="28"/>
          <w:szCs w:val="28"/>
        </w:rPr>
        <w:t xml:space="preserve"> собственником ведущих российских банков, что расширяет возможности их регулирования под эгидой единых финансовых принципов.</w:t>
      </w:r>
    </w:p>
    <w:p w:rsidR="003D3E6B" w:rsidRPr="00577CB1" w:rsidRDefault="00871D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50450E">
        <w:rPr>
          <w:rFonts w:ascii="Times New Roman" w:hAnsi="Times New Roman" w:cs="Times New Roman"/>
          <w:sz w:val="28"/>
          <w:szCs w:val="28"/>
        </w:rPr>
        <w:t xml:space="preserve"> приоритетную</w:t>
      </w:r>
      <w:r w:rsidR="003D3E6B">
        <w:rPr>
          <w:rFonts w:ascii="Times New Roman" w:hAnsi="Times New Roman" w:cs="Times New Roman"/>
          <w:sz w:val="28"/>
          <w:szCs w:val="28"/>
        </w:rPr>
        <w:t xml:space="preserve"> роль в </w:t>
      </w:r>
      <w:r w:rsidR="0050450E">
        <w:rPr>
          <w:rFonts w:ascii="Times New Roman" w:hAnsi="Times New Roman" w:cs="Times New Roman"/>
          <w:sz w:val="28"/>
          <w:szCs w:val="28"/>
        </w:rPr>
        <w:t>устойчивом развитии финансового рынка ЕЭАС</w:t>
      </w:r>
      <w:r w:rsidR="00291C2A">
        <w:rPr>
          <w:rFonts w:ascii="Times New Roman" w:hAnsi="Times New Roman" w:cs="Times New Roman"/>
          <w:sz w:val="28"/>
          <w:szCs w:val="28"/>
        </w:rPr>
        <w:t>, по мнению авторов,</w:t>
      </w:r>
      <w:r w:rsidR="003D3E6B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D45D86">
        <w:rPr>
          <w:rFonts w:ascii="Times New Roman" w:hAnsi="Times New Roman" w:cs="Times New Roman"/>
          <w:sz w:val="28"/>
          <w:szCs w:val="28"/>
        </w:rPr>
        <w:t>иметь</w:t>
      </w:r>
      <w:r w:rsidR="00B96CF9">
        <w:rPr>
          <w:rFonts w:ascii="Times New Roman" w:hAnsi="Times New Roman" w:cs="Times New Roman"/>
          <w:sz w:val="28"/>
          <w:szCs w:val="28"/>
        </w:rPr>
        <w:t xml:space="preserve"> </w:t>
      </w:r>
      <w:r w:rsidR="0050450E">
        <w:rPr>
          <w:rFonts w:ascii="Times New Roman" w:hAnsi="Times New Roman" w:cs="Times New Roman"/>
          <w:sz w:val="28"/>
          <w:szCs w:val="28"/>
        </w:rPr>
        <w:t xml:space="preserve">не коммерческие банки, а </w:t>
      </w:r>
      <w:r w:rsidR="00B96CF9">
        <w:rPr>
          <w:rFonts w:ascii="Times New Roman" w:hAnsi="Times New Roman" w:cs="Times New Roman"/>
          <w:sz w:val="28"/>
          <w:szCs w:val="28"/>
        </w:rPr>
        <w:t xml:space="preserve">банки развития, </w:t>
      </w:r>
      <w:r w:rsidR="00D95CA8">
        <w:rPr>
          <w:rFonts w:ascii="Times New Roman" w:hAnsi="Times New Roman" w:cs="Times New Roman"/>
          <w:sz w:val="28"/>
          <w:szCs w:val="28"/>
        </w:rPr>
        <w:t xml:space="preserve">финансирующие инвестиционные проекты стратегической значимости </w:t>
      </w:r>
      <w:r w:rsidR="00D95CA8" w:rsidRPr="00D95CA8">
        <w:rPr>
          <w:rFonts w:ascii="Times New Roman" w:hAnsi="Times New Roman" w:cs="Times New Roman"/>
          <w:sz w:val="28"/>
          <w:szCs w:val="28"/>
        </w:rPr>
        <w:t>[</w:t>
      </w:r>
      <w:r w:rsidR="00D95CA8">
        <w:rPr>
          <w:rFonts w:ascii="Times New Roman" w:hAnsi="Times New Roman" w:cs="Times New Roman"/>
          <w:sz w:val="28"/>
          <w:szCs w:val="28"/>
        </w:rPr>
        <w:t xml:space="preserve">см. подробнее: 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8</w:t>
      </w:r>
      <w:r w:rsidR="00D95CA8">
        <w:rPr>
          <w:rFonts w:ascii="Times New Roman" w:hAnsi="Times New Roman" w:cs="Times New Roman"/>
          <w:sz w:val="28"/>
          <w:szCs w:val="28"/>
        </w:rPr>
        <w:t>, с. 223</w:t>
      </w:r>
      <w:r w:rsidR="00E135AA">
        <w:rPr>
          <w:rFonts w:ascii="Times New Roman" w:hAnsi="Times New Roman" w:cs="Times New Roman"/>
          <w:sz w:val="28"/>
          <w:szCs w:val="28"/>
        </w:rPr>
        <w:t xml:space="preserve">; </w:t>
      </w:r>
      <w:r w:rsidR="00384E26">
        <w:rPr>
          <w:rFonts w:ascii="Times New Roman" w:hAnsi="Times New Roman" w:cs="Times New Roman"/>
          <w:sz w:val="28"/>
          <w:szCs w:val="28"/>
        </w:rPr>
        <w:t>1</w:t>
      </w:r>
      <w:r w:rsidR="0013614C">
        <w:rPr>
          <w:rFonts w:ascii="Times New Roman" w:hAnsi="Times New Roman" w:cs="Times New Roman"/>
          <w:sz w:val="28"/>
          <w:szCs w:val="28"/>
        </w:rPr>
        <w:t>9</w:t>
      </w:r>
      <w:r w:rsidR="00E135AA">
        <w:rPr>
          <w:rFonts w:ascii="Times New Roman" w:hAnsi="Times New Roman" w:cs="Times New Roman"/>
          <w:sz w:val="28"/>
          <w:szCs w:val="28"/>
        </w:rPr>
        <w:t>, с. 175-177</w:t>
      </w:r>
      <w:r w:rsidR="00D95CA8" w:rsidRPr="00D95CA8">
        <w:rPr>
          <w:rFonts w:ascii="Times New Roman" w:hAnsi="Times New Roman" w:cs="Times New Roman"/>
          <w:sz w:val="28"/>
          <w:szCs w:val="28"/>
        </w:rPr>
        <w:t>]</w:t>
      </w:r>
      <w:r w:rsidR="00B96CF9">
        <w:rPr>
          <w:rFonts w:ascii="Times New Roman" w:hAnsi="Times New Roman" w:cs="Times New Roman"/>
          <w:sz w:val="28"/>
          <w:szCs w:val="28"/>
        </w:rPr>
        <w:t>. П</w:t>
      </w:r>
      <w:r w:rsidR="00C50474">
        <w:rPr>
          <w:rFonts w:ascii="Times New Roman" w:hAnsi="Times New Roman" w:cs="Times New Roman"/>
          <w:sz w:val="28"/>
          <w:szCs w:val="28"/>
        </w:rPr>
        <w:t>режде всего,</w:t>
      </w:r>
      <w:r w:rsidR="00B96CF9">
        <w:rPr>
          <w:rFonts w:ascii="Times New Roman" w:hAnsi="Times New Roman" w:cs="Times New Roman"/>
          <w:sz w:val="28"/>
          <w:szCs w:val="28"/>
        </w:rPr>
        <w:t xml:space="preserve"> речь идет о</w:t>
      </w:r>
      <w:r w:rsidR="00C50474">
        <w:rPr>
          <w:rFonts w:ascii="Times New Roman" w:hAnsi="Times New Roman" w:cs="Times New Roman"/>
          <w:sz w:val="28"/>
          <w:szCs w:val="28"/>
        </w:rPr>
        <w:t xml:space="preserve"> Евразийск</w:t>
      </w:r>
      <w:r w:rsidR="00B96CF9">
        <w:rPr>
          <w:rFonts w:ascii="Times New Roman" w:hAnsi="Times New Roman" w:cs="Times New Roman"/>
          <w:sz w:val="28"/>
          <w:szCs w:val="28"/>
        </w:rPr>
        <w:t>ом</w:t>
      </w:r>
      <w:r w:rsidR="00C50474">
        <w:rPr>
          <w:rFonts w:ascii="Times New Roman" w:hAnsi="Times New Roman" w:cs="Times New Roman"/>
          <w:sz w:val="28"/>
          <w:szCs w:val="28"/>
        </w:rPr>
        <w:t xml:space="preserve"> банк</w:t>
      </w:r>
      <w:r w:rsidR="00B96CF9">
        <w:rPr>
          <w:rFonts w:ascii="Times New Roman" w:hAnsi="Times New Roman" w:cs="Times New Roman"/>
          <w:sz w:val="28"/>
          <w:szCs w:val="28"/>
        </w:rPr>
        <w:t>е</w:t>
      </w:r>
      <w:r w:rsidR="00C50474">
        <w:rPr>
          <w:rFonts w:ascii="Times New Roman" w:hAnsi="Times New Roman" w:cs="Times New Roman"/>
          <w:sz w:val="28"/>
          <w:szCs w:val="28"/>
        </w:rPr>
        <w:t xml:space="preserve"> развития (ЕАБР).</w:t>
      </w:r>
      <w:r w:rsidR="00577CB1">
        <w:rPr>
          <w:rFonts w:ascii="Times New Roman" w:hAnsi="Times New Roman" w:cs="Times New Roman"/>
          <w:sz w:val="28"/>
          <w:szCs w:val="28"/>
        </w:rPr>
        <w:t xml:space="preserve"> Примечательно, что ЕАБР, играя значимую роль в Евразийской интеграции и специализируясь на проектном финансировании, подчеркивает свои высокие природоохранные стандарты</w:t>
      </w:r>
      <w:r w:rsidR="00577CB1" w:rsidRPr="00577CB1">
        <w:rPr>
          <w:rFonts w:ascii="Times New Roman" w:hAnsi="Times New Roman" w:cs="Times New Roman"/>
          <w:sz w:val="28"/>
          <w:szCs w:val="28"/>
        </w:rPr>
        <w:t xml:space="preserve"> </w:t>
      </w:r>
      <w:r w:rsidR="00577CB1">
        <w:rPr>
          <w:rFonts w:ascii="Times New Roman" w:hAnsi="Times New Roman" w:cs="Times New Roman"/>
          <w:sz w:val="28"/>
          <w:szCs w:val="28"/>
        </w:rPr>
        <w:t>и предпочтение проектов зеленого финансирования</w:t>
      </w:r>
      <w:r w:rsidR="0021658C" w:rsidRPr="0021658C">
        <w:rPr>
          <w:rFonts w:ascii="Times New Roman" w:hAnsi="Times New Roman" w:cs="Times New Roman"/>
          <w:sz w:val="28"/>
          <w:szCs w:val="28"/>
        </w:rPr>
        <w:t xml:space="preserve"> [</w:t>
      </w:r>
      <w:r w:rsidR="0013614C">
        <w:rPr>
          <w:rFonts w:ascii="Times New Roman" w:hAnsi="Times New Roman" w:cs="Times New Roman"/>
          <w:sz w:val="28"/>
          <w:szCs w:val="28"/>
        </w:rPr>
        <w:t>6</w:t>
      </w:r>
      <w:r w:rsidR="0021658C" w:rsidRPr="0021658C">
        <w:rPr>
          <w:rFonts w:ascii="Times New Roman" w:hAnsi="Times New Roman" w:cs="Times New Roman"/>
          <w:sz w:val="28"/>
          <w:szCs w:val="28"/>
        </w:rPr>
        <w:t>]</w:t>
      </w:r>
      <w:r w:rsidR="00577CB1">
        <w:rPr>
          <w:rFonts w:ascii="Times New Roman" w:hAnsi="Times New Roman" w:cs="Times New Roman"/>
          <w:sz w:val="28"/>
          <w:szCs w:val="28"/>
        </w:rPr>
        <w:t>.</w:t>
      </w:r>
      <w:r w:rsidR="00E135AA">
        <w:rPr>
          <w:rFonts w:ascii="Times New Roman" w:hAnsi="Times New Roman" w:cs="Times New Roman"/>
          <w:sz w:val="28"/>
          <w:szCs w:val="28"/>
        </w:rPr>
        <w:t xml:space="preserve"> Разработка принципов ответственного инвестирования и устойчивой финансовой деятельности под эгидой ЕАБР, а также внедрение данных принципов в стратегию евразийской интеграции способны обеспечить преодоление эффекта колеи, создавая </w:t>
      </w:r>
      <w:r w:rsidR="00E135AA">
        <w:rPr>
          <w:rFonts w:ascii="Times New Roman" w:hAnsi="Times New Roman" w:cs="Times New Roman"/>
          <w:sz w:val="28"/>
          <w:szCs w:val="28"/>
        </w:rPr>
        <w:lastRenderedPageBreak/>
        <w:t>необходимые предпосылки для устойчивого развития финансового рынка ЕАЭС.</w:t>
      </w:r>
    </w:p>
    <w:p w:rsidR="00DC6856" w:rsidRPr="00DC6856" w:rsidRDefault="00DC68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A66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D22A66" w:rsidRDefault="00D22A66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 xml:space="preserve">Исследование показало, что в литературе основное внимание уделяется правовым и политическим условиям финансовой интеграции ЕАЭС. Однако созданию общего финансового рынка не благоприятствуют сложившиеся </w:t>
      </w:r>
      <w:proofErr w:type="spellStart"/>
      <w:r>
        <w:rPr>
          <w:rFonts w:ascii="Times New Roman" w:hAnsi="Times New Roman"/>
          <w:iCs/>
          <w:sz w:val="28"/>
          <w:szCs w:val="24"/>
        </w:rPr>
        <w:t>страновые</w:t>
      </w:r>
      <w:proofErr w:type="spellEnd"/>
      <w:r>
        <w:rPr>
          <w:rFonts w:ascii="Times New Roman" w:hAnsi="Times New Roman"/>
          <w:iCs/>
          <w:sz w:val="28"/>
          <w:szCs w:val="24"/>
        </w:rPr>
        <w:t xml:space="preserve"> и секторальные диспропорции. Неблагоприятна и общая финансовая конъюнктура, что не позволяет</w:t>
      </w:r>
      <w:r w:rsidR="00C67264">
        <w:rPr>
          <w:rFonts w:ascii="Times New Roman" w:hAnsi="Times New Roman"/>
          <w:iCs/>
          <w:sz w:val="28"/>
          <w:szCs w:val="24"/>
        </w:rPr>
        <w:t xml:space="preserve"> национальным </w:t>
      </w:r>
      <w:r>
        <w:rPr>
          <w:rFonts w:ascii="Times New Roman" w:hAnsi="Times New Roman"/>
          <w:iCs/>
          <w:sz w:val="28"/>
          <w:szCs w:val="24"/>
        </w:rPr>
        <w:t xml:space="preserve">финансовым системам реализовать свой социально-экономический потенциал. Драйвером финансовой интеграции в этих условиях может стать внедрение принципов устойчивого развития общего финансового рынка ЕАЭС, что коррелирует с мировой повесткой дня, социально-экономическими вызовами для стран Союза, отвечает их финансово-экономическим особенностям и позволит повысить мотивацию экономических агентов, мобилизуя процесс интеграции «снизу». Особую роль в этом процессе </w:t>
      </w:r>
      <w:r w:rsidR="00B61EAD">
        <w:rPr>
          <w:rFonts w:ascii="Times New Roman" w:hAnsi="Times New Roman"/>
          <w:iCs/>
          <w:sz w:val="28"/>
          <w:szCs w:val="24"/>
        </w:rPr>
        <w:t>должны</w:t>
      </w:r>
      <w:r>
        <w:rPr>
          <w:rFonts w:ascii="Times New Roman" w:hAnsi="Times New Roman"/>
          <w:iCs/>
          <w:sz w:val="28"/>
          <w:szCs w:val="24"/>
        </w:rPr>
        <w:t xml:space="preserve"> играть банки развития, прежде всего, ЕАБР.</w:t>
      </w:r>
    </w:p>
    <w:p w:rsidR="004D6D77" w:rsidRPr="004D6D77" w:rsidRDefault="004D6D77" w:rsidP="004D6D77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4D6D77">
        <w:rPr>
          <w:rFonts w:ascii="Times New Roman" w:hAnsi="Times New Roman"/>
          <w:iCs/>
          <w:sz w:val="28"/>
          <w:szCs w:val="24"/>
        </w:rPr>
        <w:t>Исследование выполнено при финансовой поддержке РФФИ в рамках научного проекта № 19-010-00526.</w:t>
      </w:r>
    </w:p>
    <w:p w:rsidR="00DC6856" w:rsidRPr="00DC6856" w:rsidRDefault="00DC68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5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>Абрамова М.А., Масленников В.В. Проблемы координации национальных денежно-кредитных политик стран ЕАЭС в контексте согласованной денежно-кредитной политики интеграционного объединения // Деньги и кредит. – 2016. – №12. – С. 27 – 33.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 xml:space="preserve">Более 100 крупнейших проектов в сфере энергетического строительства на территории России, Казахстана, Беларуси, Киргизии и Армении // РБК. – 3 окт. 2018. – </w:t>
      </w:r>
      <w:r w:rsidRPr="0090486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04862">
        <w:rPr>
          <w:rFonts w:ascii="Times New Roman" w:hAnsi="Times New Roman" w:cs="Times New Roman"/>
          <w:sz w:val="28"/>
          <w:szCs w:val="28"/>
        </w:rPr>
        <w:t>: https://marketing.rbc.ru/articles/10483/</w:t>
      </w:r>
    </w:p>
    <w:p w:rsidR="00A922DD" w:rsidRDefault="00093D9F" w:rsidP="00A922DD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 xml:space="preserve">Винокуров Е.Ю., </w:t>
      </w:r>
      <w:proofErr w:type="spellStart"/>
      <w:r w:rsidRPr="00904862">
        <w:rPr>
          <w:rFonts w:ascii="Times New Roman" w:hAnsi="Times New Roman" w:cs="Times New Roman"/>
          <w:sz w:val="28"/>
          <w:szCs w:val="28"/>
        </w:rPr>
        <w:t>Либман</w:t>
      </w:r>
      <w:proofErr w:type="spellEnd"/>
      <w:r w:rsidRPr="00904862">
        <w:rPr>
          <w:rFonts w:ascii="Times New Roman" w:hAnsi="Times New Roman" w:cs="Times New Roman"/>
          <w:sz w:val="28"/>
          <w:szCs w:val="28"/>
        </w:rPr>
        <w:t xml:space="preserve"> А.М. Евразийская континентальная интеграция. – СПб</w:t>
      </w:r>
      <w:proofErr w:type="gramStart"/>
      <w:r w:rsidRPr="0090486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04862">
        <w:rPr>
          <w:rFonts w:ascii="Times New Roman" w:hAnsi="Times New Roman" w:cs="Times New Roman"/>
          <w:sz w:val="28"/>
          <w:szCs w:val="28"/>
        </w:rPr>
        <w:t>ЕАБР. – 224 с.</w:t>
      </w:r>
    </w:p>
    <w:p w:rsidR="00A922DD" w:rsidRPr="00A922DD" w:rsidRDefault="00A922DD" w:rsidP="00A922DD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14C">
        <w:rPr>
          <w:rFonts w:ascii="Times New Roman" w:hAnsi="Times New Roman" w:cs="Times New Roman"/>
          <w:sz w:val="28"/>
        </w:rPr>
        <w:lastRenderedPageBreak/>
        <w:t>Воронова Н.С., Львова Н.А., Покровская Н.В. Детерминанты финансового</w:t>
      </w:r>
      <w:r w:rsidRPr="00A922DD">
        <w:rPr>
          <w:rFonts w:ascii="Times New Roman" w:hAnsi="Times New Roman" w:cs="Times New Roman"/>
          <w:sz w:val="28"/>
        </w:rPr>
        <w:t xml:space="preserve"> развития в условиях евразийской интеграции // Проблемы современной экономики. – 2018. </w:t>
      </w:r>
      <w:r>
        <w:rPr>
          <w:rFonts w:ascii="Times New Roman" w:hAnsi="Times New Roman" w:cs="Times New Roman"/>
          <w:sz w:val="28"/>
        </w:rPr>
        <w:t xml:space="preserve">– </w:t>
      </w:r>
      <w:r w:rsidRPr="00A922DD">
        <w:rPr>
          <w:rFonts w:ascii="Times New Roman" w:hAnsi="Times New Roman" w:cs="Times New Roman"/>
          <w:sz w:val="28"/>
        </w:rPr>
        <w:t xml:space="preserve">№1. </w:t>
      </w:r>
      <w:r>
        <w:rPr>
          <w:rFonts w:ascii="Times New Roman" w:hAnsi="Times New Roman" w:cs="Times New Roman"/>
          <w:sz w:val="28"/>
        </w:rPr>
        <w:t xml:space="preserve">– </w:t>
      </w:r>
      <w:r w:rsidRPr="00A922DD">
        <w:rPr>
          <w:rFonts w:ascii="Times New Roman" w:hAnsi="Times New Roman" w:cs="Times New Roman"/>
          <w:sz w:val="28"/>
          <w:lang w:val="en-US"/>
        </w:rPr>
        <w:t>C</w:t>
      </w:r>
      <w:r w:rsidRPr="00A922DD">
        <w:rPr>
          <w:rFonts w:ascii="Times New Roman" w:hAnsi="Times New Roman" w:cs="Times New Roman"/>
          <w:sz w:val="28"/>
        </w:rPr>
        <w:t>. 6 – 11.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862">
        <w:rPr>
          <w:rFonts w:ascii="Times New Roman" w:hAnsi="Times New Roman" w:cs="Times New Roman"/>
          <w:sz w:val="28"/>
          <w:szCs w:val="28"/>
        </w:rPr>
        <w:t>Демидкина</w:t>
      </w:r>
      <w:proofErr w:type="spellEnd"/>
      <w:r w:rsidRPr="00904862">
        <w:rPr>
          <w:rFonts w:ascii="Times New Roman" w:hAnsi="Times New Roman" w:cs="Times New Roman"/>
          <w:sz w:val="28"/>
          <w:szCs w:val="28"/>
        </w:rPr>
        <w:t xml:space="preserve"> О., </w:t>
      </w:r>
      <w:proofErr w:type="spellStart"/>
      <w:r w:rsidRPr="00904862">
        <w:rPr>
          <w:rFonts w:ascii="Times New Roman" w:hAnsi="Times New Roman" w:cs="Times New Roman"/>
          <w:sz w:val="28"/>
          <w:szCs w:val="28"/>
        </w:rPr>
        <w:t>Кофнер</w:t>
      </w:r>
      <w:proofErr w:type="spellEnd"/>
      <w:r w:rsidRPr="00904862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904862">
        <w:rPr>
          <w:rFonts w:ascii="Times New Roman" w:hAnsi="Times New Roman" w:cs="Times New Roman"/>
          <w:sz w:val="28"/>
          <w:szCs w:val="28"/>
        </w:rPr>
        <w:t>Моисеивич</w:t>
      </w:r>
      <w:proofErr w:type="spellEnd"/>
      <w:r w:rsidRPr="00904862">
        <w:rPr>
          <w:rFonts w:ascii="Times New Roman" w:hAnsi="Times New Roman" w:cs="Times New Roman"/>
          <w:sz w:val="28"/>
          <w:szCs w:val="28"/>
        </w:rPr>
        <w:t xml:space="preserve"> Е. На пути к общему финансовому рынку ЕАЭС // Перспективы Евразии. – 2018. – Июль. – №1. – С. 17 – 21.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>Евразийский банк развития. Направления деятельности. – URL: https://eabr.org/about/line-of-activity/.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 xml:space="preserve">Жукова Т.В. Структура собственности на финансовом рынке в странах с </w:t>
      </w:r>
      <w:proofErr w:type="spellStart"/>
      <w:r w:rsidRPr="00904862">
        <w:rPr>
          <w:rFonts w:ascii="Times New Roman" w:hAnsi="Times New Roman" w:cs="Times New Roman"/>
          <w:sz w:val="28"/>
          <w:szCs w:val="28"/>
        </w:rPr>
        <w:t>неоконтинентальной</w:t>
      </w:r>
      <w:proofErr w:type="spellEnd"/>
      <w:r w:rsidRPr="00904862">
        <w:rPr>
          <w:rFonts w:ascii="Times New Roman" w:hAnsi="Times New Roman" w:cs="Times New Roman"/>
          <w:sz w:val="28"/>
          <w:szCs w:val="28"/>
        </w:rPr>
        <w:t xml:space="preserve"> моделью // Финансы и кредит</w:t>
      </w:r>
      <w:r w:rsidRPr="00904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4862">
        <w:rPr>
          <w:rFonts w:ascii="Times New Roman" w:hAnsi="Times New Roman" w:cs="Times New Roman"/>
          <w:sz w:val="28"/>
          <w:szCs w:val="28"/>
        </w:rPr>
        <w:t xml:space="preserve"> – 2015</w:t>
      </w:r>
      <w:r w:rsidRPr="00904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4862">
        <w:rPr>
          <w:rFonts w:ascii="Times New Roman" w:hAnsi="Times New Roman" w:cs="Times New Roman"/>
          <w:sz w:val="28"/>
          <w:szCs w:val="28"/>
        </w:rPr>
        <w:t xml:space="preserve"> – № 35</w:t>
      </w:r>
      <w:r w:rsidRPr="00904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4862">
        <w:rPr>
          <w:rFonts w:ascii="Times New Roman" w:hAnsi="Times New Roman" w:cs="Times New Roman"/>
          <w:sz w:val="28"/>
          <w:szCs w:val="28"/>
        </w:rPr>
        <w:t xml:space="preserve"> – С. 2 – 11.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04862">
        <w:rPr>
          <w:rFonts w:ascii="Times New Roman" w:hAnsi="Times New Roman" w:cs="Times New Roman"/>
          <w:iCs/>
          <w:sz w:val="28"/>
          <w:szCs w:val="28"/>
        </w:rPr>
        <w:t>Звонова</w:t>
      </w:r>
      <w:proofErr w:type="spellEnd"/>
      <w:r w:rsidRPr="00904862">
        <w:rPr>
          <w:rFonts w:ascii="Times New Roman" w:hAnsi="Times New Roman" w:cs="Times New Roman"/>
          <w:iCs/>
          <w:sz w:val="28"/>
          <w:szCs w:val="28"/>
        </w:rPr>
        <w:t xml:space="preserve"> Е.А., Пищик В.Я. О концептуальных подходах к созданию общего финансового рынка государств – членов ЕАЭС // Финансы и кредит. – 2018. – №1. – С. 5 – 18.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862">
        <w:rPr>
          <w:rFonts w:ascii="Times New Roman" w:hAnsi="Times New Roman" w:cs="Times New Roman"/>
          <w:iCs/>
          <w:sz w:val="28"/>
          <w:szCs w:val="28"/>
        </w:rPr>
        <w:t>Звонова</w:t>
      </w:r>
      <w:proofErr w:type="spellEnd"/>
      <w:r w:rsidRPr="00904862">
        <w:rPr>
          <w:rFonts w:ascii="Times New Roman" w:hAnsi="Times New Roman" w:cs="Times New Roman"/>
          <w:iCs/>
          <w:sz w:val="28"/>
          <w:szCs w:val="28"/>
        </w:rPr>
        <w:t xml:space="preserve"> Е.А., Пищик В.Я. </w:t>
      </w:r>
      <w:r w:rsidRPr="00904862">
        <w:rPr>
          <w:rFonts w:ascii="Times New Roman" w:hAnsi="Times New Roman" w:cs="Times New Roman"/>
          <w:sz w:val="28"/>
          <w:szCs w:val="28"/>
        </w:rPr>
        <w:t>Оценка факторов обеспечения экономического роста и достижения финансовой стабильности в государствах – членах Евразийского экономического союза // Финансы и кредит. – 2016. – №18. – С.</w:t>
      </w:r>
      <w:r w:rsidR="00060971">
        <w:rPr>
          <w:rFonts w:ascii="Times New Roman" w:hAnsi="Times New Roman" w:cs="Times New Roman"/>
          <w:sz w:val="28"/>
          <w:szCs w:val="28"/>
        </w:rPr>
        <w:t> </w:t>
      </w:r>
      <w:r w:rsidRPr="00904862">
        <w:rPr>
          <w:rFonts w:ascii="Times New Roman" w:hAnsi="Times New Roman" w:cs="Times New Roman"/>
          <w:sz w:val="28"/>
          <w:szCs w:val="28"/>
        </w:rPr>
        <w:t>2</w:t>
      </w:r>
      <w:r w:rsidR="000609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862">
        <w:rPr>
          <w:rFonts w:ascii="Times New Roman" w:hAnsi="Times New Roman" w:cs="Times New Roman"/>
          <w:sz w:val="28"/>
          <w:szCs w:val="28"/>
        </w:rPr>
        <w:t>–</w:t>
      </w:r>
      <w:r w:rsidR="00060971">
        <w:rPr>
          <w:rFonts w:ascii="Times New Roman" w:hAnsi="Times New Roman" w:cs="Times New Roman"/>
          <w:sz w:val="28"/>
          <w:szCs w:val="28"/>
        </w:rPr>
        <w:t> </w:t>
      </w:r>
      <w:r w:rsidRPr="00904862">
        <w:rPr>
          <w:rFonts w:ascii="Times New Roman" w:hAnsi="Times New Roman" w:cs="Times New Roman"/>
          <w:sz w:val="28"/>
          <w:szCs w:val="28"/>
        </w:rPr>
        <w:t>18.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>Зубов В., Иноземцев В. Суррогатная инвестиционная система // Вопросы экономики. – 2015. – № 3. – С. 76–86.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>Красавина Л.Н. Концептуальные основы повышения интеграционного взаимодействия государств – участников Евразийского экономического союза // Деньги и кредит. – 2016. – №12. – C. 14–15.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4862">
        <w:rPr>
          <w:rFonts w:ascii="Times New Roman" w:hAnsi="Times New Roman" w:cs="Times New Roman"/>
          <w:bCs/>
          <w:iCs/>
          <w:sz w:val="28"/>
          <w:szCs w:val="28"/>
        </w:rPr>
        <w:t>Львова Н.А., Воронова Н.С. К постановке вопроса об устойчивом развитии финансового рынка ЕАЭС // Проблемы современной экономики. – 2018. – №3. – С. 12–17.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4862">
        <w:rPr>
          <w:rFonts w:ascii="Times New Roman" w:hAnsi="Times New Roman" w:cs="Times New Roman"/>
          <w:bCs/>
          <w:iCs/>
          <w:sz w:val="28"/>
          <w:szCs w:val="28"/>
        </w:rPr>
        <w:t>Михайлов М.В. Формирование общего финансового рынка ЕАЭС // Мировая экономика. – 2016. – №3. – С. 92 – 95.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4862">
        <w:rPr>
          <w:rFonts w:ascii="Times New Roman" w:hAnsi="Times New Roman" w:cs="Times New Roman"/>
          <w:bCs/>
          <w:iCs/>
          <w:sz w:val="28"/>
          <w:szCs w:val="28"/>
        </w:rPr>
        <w:t xml:space="preserve">Навой А.В. Валютно-финансовые критерии конвергенции в ЕАЭС // Деньги и кредит. – 2015. – №6. – </w:t>
      </w:r>
      <w:r w:rsidRPr="00904862">
        <w:rPr>
          <w:rFonts w:ascii="Times New Roman" w:eastAsia="TimesNewRomanPSMT" w:hAnsi="Times New Roman" w:cs="Times New Roman"/>
          <w:sz w:val="28"/>
          <w:szCs w:val="28"/>
        </w:rPr>
        <w:t>С. 6–12.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4862">
        <w:rPr>
          <w:rFonts w:ascii="Times New Roman" w:eastAsia="TimesNewRomanPSMT" w:hAnsi="Times New Roman" w:cs="Times New Roman"/>
          <w:sz w:val="28"/>
          <w:szCs w:val="28"/>
        </w:rPr>
        <w:t>Навой А.В. Современная региональная экономическая интеграция: основные тренды и противоречия // Деньги и кредит. – 2017. – №4. – С. 24 – 32.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Пищик В.Я., </w:t>
      </w:r>
      <w:proofErr w:type="spellStart"/>
      <w:r w:rsidRPr="00904862">
        <w:rPr>
          <w:rFonts w:ascii="Times New Roman" w:hAnsi="Times New Roman" w:cs="Times New Roman"/>
          <w:iCs/>
          <w:sz w:val="28"/>
          <w:szCs w:val="28"/>
        </w:rPr>
        <w:t>Звонова</w:t>
      </w:r>
      <w:proofErr w:type="spellEnd"/>
      <w:r w:rsidRPr="00904862">
        <w:rPr>
          <w:rFonts w:ascii="Times New Roman" w:hAnsi="Times New Roman" w:cs="Times New Roman"/>
          <w:iCs/>
          <w:sz w:val="28"/>
          <w:szCs w:val="28"/>
        </w:rPr>
        <w:t xml:space="preserve"> Е.А. </w:t>
      </w:r>
      <w:r w:rsidRPr="00904862">
        <w:rPr>
          <w:rFonts w:ascii="Times New Roman" w:hAnsi="Times New Roman" w:cs="Times New Roman"/>
          <w:sz w:val="28"/>
          <w:szCs w:val="28"/>
        </w:rPr>
        <w:t>Институциональные аспекты регулирования валютно-финансовых отношений в Евразийском экономическом союзе // Вестник Финансового университета. – 2014. – №6. – С. 92 – 100.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bCs/>
          <w:sz w:val="28"/>
          <w:szCs w:val="28"/>
        </w:rPr>
        <w:t>Показатели достижения Целей в области устойчивого развития в регионе Евразийского экономического союза. – М.: ЕЭК. Москва, 2017. – 56 с.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862">
        <w:rPr>
          <w:rFonts w:ascii="Times New Roman" w:hAnsi="Times New Roman" w:cs="Times New Roman"/>
          <w:color w:val="auto"/>
          <w:sz w:val="28"/>
          <w:szCs w:val="28"/>
        </w:rPr>
        <w:t>Развитие институциональных основ кредитно-финансовых систем Российской Федерации и Республики Беларусь / В.В. Иванов, Б.И. Соколов, Н.В. Покровская. – СПб</w:t>
      </w:r>
      <w:proofErr w:type="gramStart"/>
      <w:r w:rsidRPr="00904862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spellStart"/>
      <w:proofErr w:type="gramEnd"/>
      <w:r w:rsidRPr="00904862">
        <w:rPr>
          <w:rFonts w:ascii="Times New Roman" w:hAnsi="Times New Roman" w:cs="Times New Roman"/>
          <w:color w:val="auto"/>
          <w:sz w:val="28"/>
          <w:szCs w:val="28"/>
        </w:rPr>
        <w:t>Скифия-Принт</w:t>
      </w:r>
      <w:proofErr w:type="spellEnd"/>
      <w:r w:rsidRPr="00904862">
        <w:rPr>
          <w:rFonts w:ascii="Times New Roman" w:hAnsi="Times New Roman" w:cs="Times New Roman"/>
          <w:color w:val="auto"/>
          <w:sz w:val="28"/>
          <w:szCs w:val="28"/>
        </w:rPr>
        <w:t>, 2016. – 256 с.</w:t>
      </w:r>
    </w:p>
    <w:p w:rsidR="00093D9F" w:rsidRPr="00904862" w:rsidRDefault="00093D9F" w:rsidP="00093D9F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4862">
        <w:rPr>
          <w:rFonts w:ascii="Times New Roman" w:hAnsi="Times New Roman" w:cs="Times New Roman"/>
          <w:color w:val="auto"/>
          <w:sz w:val="28"/>
          <w:szCs w:val="28"/>
        </w:rPr>
        <w:t>Соколов Б.И., Иванов В.В. Банки и фонды капиталов. – СПб</w:t>
      </w:r>
      <w:proofErr w:type="gramStart"/>
      <w:r w:rsidRPr="00904862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proofErr w:type="gramEnd"/>
      <w:r w:rsidRPr="00904862">
        <w:rPr>
          <w:rFonts w:ascii="Times New Roman" w:hAnsi="Times New Roman" w:cs="Times New Roman"/>
          <w:color w:val="auto"/>
          <w:sz w:val="28"/>
          <w:szCs w:val="28"/>
        </w:rPr>
        <w:t>НПК «Рост», 2011. – 237 с.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862">
        <w:rPr>
          <w:rFonts w:ascii="Times New Roman" w:hAnsi="Times New Roman" w:cs="Times New Roman"/>
          <w:sz w:val="28"/>
          <w:szCs w:val="28"/>
        </w:rPr>
        <w:t>Финансовые рынки Евразии: устройство, динамика, будущее</w:t>
      </w:r>
      <w:proofErr w:type="gramStart"/>
      <w:r w:rsidRPr="009048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04862">
        <w:rPr>
          <w:rFonts w:ascii="Times New Roman" w:hAnsi="Times New Roman" w:cs="Times New Roman"/>
          <w:sz w:val="28"/>
          <w:szCs w:val="28"/>
        </w:rPr>
        <w:t>од ред. Я.М. Миркина</w:t>
      </w:r>
      <w:r w:rsidRPr="00904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4862">
        <w:rPr>
          <w:rFonts w:ascii="Times New Roman" w:hAnsi="Times New Roman" w:cs="Times New Roman"/>
          <w:sz w:val="28"/>
          <w:szCs w:val="28"/>
        </w:rPr>
        <w:t xml:space="preserve"> – М.: Магистр, 2017</w:t>
      </w:r>
      <w:r w:rsidRPr="009048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04862">
        <w:rPr>
          <w:rFonts w:ascii="Times New Roman" w:hAnsi="Times New Roman" w:cs="Times New Roman"/>
          <w:sz w:val="28"/>
          <w:szCs w:val="28"/>
        </w:rPr>
        <w:t xml:space="preserve"> – 384 с.</w:t>
      </w:r>
    </w:p>
    <w:p w:rsidR="00093D9F" w:rsidRPr="00904862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862">
        <w:rPr>
          <w:rFonts w:ascii="Times New Roman" w:hAnsi="Times New Roman" w:cs="Times New Roman"/>
          <w:spacing w:val="2"/>
          <w:sz w:val="28"/>
          <w:szCs w:val="28"/>
          <w:lang w:val="en-US"/>
        </w:rPr>
        <w:t>EP Association Members &amp; Reporting. – URL:</w:t>
      </w:r>
      <w:r w:rsidRPr="00904862">
        <w:rPr>
          <w:rFonts w:ascii="Times New Roman" w:hAnsi="Times New Roman" w:cs="Times New Roman"/>
          <w:sz w:val="28"/>
          <w:szCs w:val="28"/>
          <w:lang w:val="en-US"/>
        </w:rPr>
        <w:t xml:space="preserve"> https://equator-principles.com/members-reporting/.</w:t>
      </w:r>
    </w:p>
    <w:p w:rsidR="000F71D6" w:rsidRDefault="00093D9F" w:rsidP="000F71D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862">
        <w:rPr>
          <w:rFonts w:ascii="Times New Roman" w:hAnsi="Times New Roman" w:cs="Times New Roman"/>
          <w:sz w:val="28"/>
          <w:szCs w:val="28"/>
          <w:lang w:val="en-US"/>
        </w:rPr>
        <w:t>Global Financial Development Database (GFDD 2018).</w:t>
      </w:r>
    </w:p>
    <w:p w:rsidR="00A922DD" w:rsidRPr="00C810AB" w:rsidRDefault="00A922DD" w:rsidP="000F71D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8871ED">
        <w:rPr>
          <w:rFonts w:ascii="Times New Roman" w:hAnsi="Times New Roman" w:cs="Times New Roman"/>
          <w:sz w:val="28"/>
          <w:szCs w:val="24"/>
          <w:lang w:val="en-US"/>
        </w:rPr>
        <w:t>Lvova</w:t>
      </w:r>
      <w:proofErr w:type="spellEnd"/>
      <w:r w:rsidRPr="008871ED">
        <w:rPr>
          <w:rFonts w:ascii="Times New Roman" w:hAnsi="Times New Roman" w:cs="Times New Roman"/>
          <w:sz w:val="28"/>
          <w:szCs w:val="24"/>
          <w:lang w:val="en-US"/>
        </w:rPr>
        <w:t xml:space="preserve">, N., </w:t>
      </w:r>
      <w:proofErr w:type="spellStart"/>
      <w:r w:rsidRPr="008871ED">
        <w:rPr>
          <w:rFonts w:ascii="Times New Roman" w:hAnsi="Times New Roman" w:cs="Times New Roman"/>
          <w:sz w:val="28"/>
          <w:szCs w:val="24"/>
          <w:lang w:val="en-US"/>
        </w:rPr>
        <w:t>Pokrovskaia</w:t>
      </w:r>
      <w:proofErr w:type="spellEnd"/>
      <w:r w:rsidRPr="008871ED">
        <w:rPr>
          <w:rFonts w:ascii="Times New Roman" w:hAnsi="Times New Roman" w:cs="Times New Roman"/>
          <w:sz w:val="28"/>
          <w:szCs w:val="24"/>
          <w:lang w:val="en-US"/>
        </w:rPr>
        <w:t xml:space="preserve"> N., </w:t>
      </w:r>
      <w:proofErr w:type="spellStart"/>
      <w:r w:rsidRPr="008871ED">
        <w:rPr>
          <w:rFonts w:ascii="Times New Roman" w:hAnsi="Times New Roman" w:cs="Times New Roman"/>
          <w:sz w:val="28"/>
          <w:szCs w:val="24"/>
          <w:lang w:val="en-US"/>
        </w:rPr>
        <w:t>Voronova</w:t>
      </w:r>
      <w:proofErr w:type="spellEnd"/>
      <w:r w:rsidRPr="008871ED">
        <w:rPr>
          <w:rFonts w:ascii="Times New Roman" w:hAnsi="Times New Roman" w:cs="Times New Roman"/>
          <w:sz w:val="28"/>
          <w:szCs w:val="24"/>
          <w:lang w:val="en-US"/>
        </w:rPr>
        <w:t xml:space="preserve"> N., </w:t>
      </w:r>
      <w:proofErr w:type="spellStart"/>
      <w:r w:rsidRPr="008871ED">
        <w:rPr>
          <w:rFonts w:ascii="Times New Roman" w:hAnsi="Times New Roman" w:cs="Times New Roman"/>
          <w:sz w:val="28"/>
          <w:szCs w:val="24"/>
          <w:lang w:val="en-US"/>
        </w:rPr>
        <w:t>Ivanov</w:t>
      </w:r>
      <w:proofErr w:type="spellEnd"/>
      <w:r w:rsidRPr="008871ED">
        <w:rPr>
          <w:rFonts w:ascii="Times New Roman" w:hAnsi="Times New Roman" w:cs="Times New Roman"/>
          <w:sz w:val="28"/>
          <w:szCs w:val="24"/>
          <w:lang w:val="en-US"/>
        </w:rPr>
        <w:t xml:space="preserve"> V. The concept of financial</w:t>
      </w:r>
      <w:r w:rsidRPr="000F71D6">
        <w:rPr>
          <w:rFonts w:ascii="Times New Roman" w:hAnsi="Times New Roman" w:cs="Times New Roman"/>
          <w:sz w:val="28"/>
          <w:szCs w:val="24"/>
          <w:lang w:val="en-US"/>
        </w:rPr>
        <w:t xml:space="preserve"> paradoxes: origins, essence, potential for development // </w:t>
      </w:r>
      <w:r w:rsidR="00C810AB" w:rsidRPr="000F71D6">
        <w:rPr>
          <w:rFonts w:ascii="Times New Roman" w:hAnsi="Times New Roman" w:cs="Times New Roman"/>
          <w:sz w:val="28"/>
          <w:szCs w:val="24"/>
          <w:lang w:val="en-US"/>
        </w:rPr>
        <w:t>Vision 2020: Innovation Management, Development Sustainability, and Competitive Economic Growth</w:t>
      </w:r>
      <w:r w:rsidR="00C810AB" w:rsidRPr="00C810AB">
        <w:rPr>
          <w:rFonts w:ascii="Times New Roman" w:hAnsi="Times New Roman" w:cs="Times New Roman"/>
          <w:sz w:val="28"/>
          <w:szCs w:val="24"/>
          <w:lang w:val="en-US"/>
        </w:rPr>
        <w:t>.</w:t>
      </w:r>
      <w:r w:rsidR="00C810AB" w:rsidRPr="000F71D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0F71D6">
        <w:rPr>
          <w:rFonts w:ascii="Times New Roman" w:hAnsi="Times New Roman" w:cs="Times New Roman"/>
          <w:sz w:val="28"/>
          <w:szCs w:val="24"/>
          <w:lang w:val="en-US"/>
        </w:rPr>
        <w:t xml:space="preserve">Proceedings of the 28th </w:t>
      </w:r>
      <w:r w:rsidR="00060971" w:rsidRPr="00060971">
        <w:rPr>
          <w:rFonts w:ascii="Times New Roman" w:hAnsi="Times New Roman" w:cs="Times New Roman"/>
          <w:sz w:val="28"/>
          <w:szCs w:val="24"/>
          <w:lang w:val="en-US"/>
        </w:rPr>
        <w:t>International Business Information Management Association</w:t>
      </w:r>
      <w:r w:rsidR="00C810AB">
        <w:rPr>
          <w:rFonts w:ascii="Times New Roman" w:hAnsi="Times New Roman" w:cs="Times New Roman"/>
          <w:sz w:val="28"/>
          <w:szCs w:val="24"/>
          <w:lang w:val="en-US"/>
        </w:rPr>
        <w:t xml:space="preserve"> Conference.</w:t>
      </w:r>
      <w:r w:rsidRPr="000F71D6"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r w:rsidR="00C810AB" w:rsidRPr="00C810AB">
        <w:rPr>
          <w:rFonts w:ascii="Times New Roman" w:hAnsi="Times New Roman" w:cs="Times New Roman"/>
          <w:sz w:val="28"/>
          <w:szCs w:val="24"/>
          <w:lang w:val="en-US"/>
        </w:rPr>
        <w:t>Ed</w:t>
      </w:r>
      <w:r w:rsidR="00C810AB">
        <w:rPr>
          <w:rFonts w:ascii="Times New Roman" w:hAnsi="Times New Roman" w:cs="Times New Roman"/>
          <w:sz w:val="28"/>
          <w:szCs w:val="24"/>
          <w:lang w:val="en-US"/>
        </w:rPr>
        <w:t>.</w:t>
      </w:r>
      <w:r w:rsidR="00C810AB" w:rsidRPr="00C810AB">
        <w:rPr>
          <w:rFonts w:ascii="Times New Roman" w:hAnsi="Times New Roman" w:cs="Times New Roman"/>
          <w:sz w:val="28"/>
          <w:szCs w:val="24"/>
          <w:lang w:val="en-US"/>
        </w:rPr>
        <w:t xml:space="preserve"> K</w:t>
      </w:r>
      <w:r w:rsidR="00060971">
        <w:rPr>
          <w:rFonts w:ascii="Times New Roman" w:hAnsi="Times New Roman" w:cs="Times New Roman"/>
          <w:sz w:val="28"/>
          <w:szCs w:val="24"/>
          <w:lang w:val="en-US"/>
        </w:rPr>
        <w:t xml:space="preserve">halid </w:t>
      </w:r>
      <w:r w:rsidR="00C810AB" w:rsidRPr="00C810AB">
        <w:rPr>
          <w:rFonts w:ascii="Times New Roman" w:hAnsi="Times New Roman" w:cs="Times New Roman"/>
          <w:sz w:val="28"/>
          <w:szCs w:val="24"/>
          <w:lang w:val="en-US"/>
        </w:rPr>
        <w:t xml:space="preserve">S. </w:t>
      </w:r>
      <w:proofErr w:type="spellStart"/>
      <w:r w:rsidR="00C810AB" w:rsidRPr="00C810AB">
        <w:rPr>
          <w:rFonts w:ascii="Times New Roman" w:hAnsi="Times New Roman" w:cs="Times New Roman"/>
          <w:sz w:val="28"/>
          <w:szCs w:val="24"/>
          <w:lang w:val="en-US"/>
        </w:rPr>
        <w:t>Soliman</w:t>
      </w:r>
      <w:proofErr w:type="spellEnd"/>
      <w:r w:rsidRPr="000F71D6">
        <w:rPr>
          <w:rFonts w:ascii="Times New Roman" w:hAnsi="Times New Roman" w:cs="Times New Roman"/>
          <w:sz w:val="28"/>
          <w:szCs w:val="24"/>
          <w:lang w:val="en-US"/>
        </w:rPr>
        <w:t>, 2016. – P. 671 – 680.</w:t>
      </w:r>
    </w:p>
    <w:p w:rsidR="00093D9F" w:rsidRPr="00060971" w:rsidRDefault="00093D9F" w:rsidP="00093D9F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 w:rsidRPr="00904862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 xml:space="preserve">The 2018 SDG Index and Dashboards Report. – URL: </w:t>
      </w:r>
      <w:r w:rsidR="00060971" w:rsidRPr="00060971">
        <w:rPr>
          <w:rFonts w:ascii="Times New Roman" w:hAnsi="Times New Roman" w:cs="Times New Roman"/>
          <w:bCs/>
          <w:spacing w:val="2"/>
          <w:sz w:val="28"/>
          <w:szCs w:val="28"/>
          <w:lang w:val="en-US"/>
        </w:rPr>
        <w:t>http://sdgindex.org/</w:t>
      </w:r>
    </w:p>
    <w:p w:rsidR="00060971" w:rsidRPr="00904862" w:rsidRDefault="00060971" w:rsidP="00060971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</w:p>
    <w:p w:rsidR="00576E37" w:rsidRP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3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:rsidR="00576E37" w:rsidRP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E37">
        <w:rPr>
          <w:rFonts w:ascii="Times New Roman" w:hAnsi="Times New Roman" w:cs="Times New Roman"/>
          <w:b/>
          <w:sz w:val="28"/>
          <w:szCs w:val="28"/>
        </w:rPr>
        <w:t>Львова Надежда Алексеевна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теории кредита и финансового менеджмента,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университет, д. э. н., доцент</w:t>
      </w:r>
    </w:p>
    <w:p w:rsidR="00576E37" w:rsidRPr="003C16AA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C16AA" w:rsidRPr="003C16AA">
        <w:rPr>
          <w:rFonts w:ascii="Times New Roman" w:hAnsi="Times New Roman" w:cs="Times New Roman"/>
          <w:sz w:val="28"/>
          <w:szCs w:val="28"/>
        </w:rPr>
        <w:t>191123, Санкт-Петербург, ул. Чайковского, 62, ауд. 212.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576E37">
        <w:rPr>
          <w:rFonts w:ascii="Times New Roman" w:hAnsi="Times New Roman" w:cs="Times New Roman"/>
          <w:sz w:val="28"/>
          <w:szCs w:val="28"/>
          <w:lang w:val="en-US"/>
        </w:rPr>
        <w:t>.: +790460</w:t>
      </w:r>
      <w:r>
        <w:rPr>
          <w:rFonts w:ascii="Times New Roman" w:hAnsi="Times New Roman" w:cs="Times New Roman"/>
          <w:sz w:val="28"/>
          <w:szCs w:val="28"/>
          <w:lang w:val="en-US"/>
        </w:rPr>
        <w:t>21179; E</w:t>
      </w:r>
      <w:r w:rsidRPr="00576E37">
        <w:rPr>
          <w:rFonts w:ascii="Times New Roman" w:hAnsi="Times New Roman" w:cs="Times New Roman"/>
          <w:sz w:val="28"/>
          <w:szCs w:val="28"/>
          <w:lang w:val="en-US"/>
        </w:rPr>
        <w:t>-mail: n.lvova@spbu.ru</w:t>
      </w:r>
    </w:p>
    <w:p w:rsidR="00576E37" w:rsidRP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Воронова Наталья Степановна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теории кредита и финансового менеджмента,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Санкт-Петербургский государственный университет, д. э. н., профессор</w:t>
      </w:r>
    </w:p>
    <w:p w:rsidR="00576E37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16AA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6AA" w:rsidRPr="003C16AA">
        <w:rPr>
          <w:rFonts w:ascii="Times New Roman" w:hAnsi="Times New Roman" w:cs="Times New Roman"/>
          <w:sz w:val="28"/>
          <w:szCs w:val="28"/>
        </w:rPr>
        <w:t>191123, Санкт-Петербург, ул. Чайковского, 62, ауд. 212.</w:t>
      </w:r>
    </w:p>
    <w:p w:rsidR="00576E37" w:rsidRPr="00012B4C" w:rsidRDefault="00576E37" w:rsidP="00576E3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>.: +7921</w:t>
      </w:r>
      <w:r w:rsidR="008B7BD9" w:rsidRPr="00012B4C">
        <w:rPr>
          <w:rFonts w:ascii="Times New Roman" w:hAnsi="Times New Roman" w:cs="Times New Roman"/>
          <w:sz w:val="28"/>
          <w:szCs w:val="28"/>
          <w:lang w:val="en-US"/>
        </w:rPr>
        <w:t>3157236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E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voronova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spbu</w:t>
      </w:r>
      <w:r w:rsidRPr="00012B4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576E37" w:rsidRPr="00012B4C" w:rsidSect="00847E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EF" w:rsidRDefault="008E3BEF" w:rsidP="00C218BC">
      <w:pPr>
        <w:spacing w:after="0" w:line="240" w:lineRule="auto"/>
      </w:pPr>
      <w:r>
        <w:separator/>
      </w:r>
    </w:p>
  </w:endnote>
  <w:endnote w:type="continuationSeparator" w:id="0">
    <w:p w:rsidR="008E3BEF" w:rsidRDefault="008E3BEF" w:rsidP="00C2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EF" w:rsidRDefault="008E3BEF" w:rsidP="00C218BC">
      <w:pPr>
        <w:spacing w:after="0" w:line="240" w:lineRule="auto"/>
      </w:pPr>
      <w:r>
        <w:separator/>
      </w:r>
    </w:p>
  </w:footnote>
  <w:footnote w:type="continuationSeparator" w:id="0">
    <w:p w:rsidR="008E3BEF" w:rsidRDefault="008E3BEF" w:rsidP="00C21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FF5"/>
    <w:multiLevelType w:val="hybridMultilevel"/>
    <w:tmpl w:val="32C0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59"/>
    <w:rsid w:val="00012B4C"/>
    <w:rsid w:val="0002526A"/>
    <w:rsid w:val="00046057"/>
    <w:rsid w:val="00056F44"/>
    <w:rsid w:val="00060971"/>
    <w:rsid w:val="00082286"/>
    <w:rsid w:val="00093D9F"/>
    <w:rsid w:val="000A3904"/>
    <w:rsid w:val="000F24F4"/>
    <w:rsid w:val="000F71D6"/>
    <w:rsid w:val="0012021C"/>
    <w:rsid w:val="0013110C"/>
    <w:rsid w:val="0013614C"/>
    <w:rsid w:val="00167FB6"/>
    <w:rsid w:val="002060CE"/>
    <w:rsid w:val="0021658C"/>
    <w:rsid w:val="00254735"/>
    <w:rsid w:val="00271662"/>
    <w:rsid w:val="00277FD7"/>
    <w:rsid w:val="00291C2A"/>
    <w:rsid w:val="002A3E87"/>
    <w:rsid w:val="002C06CD"/>
    <w:rsid w:val="002C2F7E"/>
    <w:rsid w:val="002D024A"/>
    <w:rsid w:val="00305D7A"/>
    <w:rsid w:val="003420E2"/>
    <w:rsid w:val="00376804"/>
    <w:rsid w:val="00384E26"/>
    <w:rsid w:val="003A5A66"/>
    <w:rsid w:val="003B3CE3"/>
    <w:rsid w:val="003C16AA"/>
    <w:rsid w:val="003D3E6B"/>
    <w:rsid w:val="00444BB2"/>
    <w:rsid w:val="004C12A0"/>
    <w:rsid w:val="004D62E1"/>
    <w:rsid w:val="004D6D77"/>
    <w:rsid w:val="004E1919"/>
    <w:rsid w:val="004E280C"/>
    <w:rsid w:val="004E445C"/>
    <w:rsid w:val="0050450E"/>
    <w:rsid w:val="00576E37"/>
    <w:rsid w:val="00577CB1"/>
    <w:rsid w:val="005930AB"/>
    <w:rsid w:val="005B2CC4"/>
    <w:rsid w:val="005E5CA1"/>
    <w:rsid w:val="00606225"/>
    <w:rsid w:val="006525C6"/>
    <w:rsid w:val="00657D80"/>
    <w:rsid w:val="006909D7"/>
    <w:rsid w:val="00755E32"/>
    <w:rsid w:val="00774359"/>
    <w:rsid w:val="007C1133"/>
    <w:rsid w:val="007C2B6E"/>
    <w:rsid w:val="008053B3"/>
    <w:rsid w:val="00847E26"/>
    <w:rsid w:val="00867874"/>
    <w:rsid w:val="00871DEB"/>
    <w:rsid w:val="00876683"/>
    <w:rsid w:val="00882C0B"/>
    <w:rsid w:val="00885487"/>
    <w:rsid w:val="0088586E"/>
    <w:rsid w:val="008871ED"/>
    <w:rsid w:val="008B7BD9"/>
    <w:rsid w:val="008C6D8E"/>
    <w:rsid w:val="008E3BEF"/>
    <w:rsid w:val="008F6288"/>
    <w:rsid w:val="0091278D"/>
    <w:rsid w:val="00927619"/>
    <w:rsid w:val="00935361"/>
    <w:rsid w:val="00944B51"/>
    <w:rsid w:val="00974BDE"/>
    <w:rsid w:val="009861B4"/>
    <w:rsid w:val="00996ABC"/>
    <w:rsid w:val="009A2AEE"/>
    <w:rsid w:val="009A3DB6"/>
    <w:rsid w:val="009B79ED"/>
    <w:rsid w:val="009C78B8"/>
    <w:rsid w:val="00A40834"/>
    <w:rsid w:val="00A55E29"/>
    <w:rsid w:val="00A60994"/>
    <w:rsid w:val="00A614F6"/>
    <w:rsid w:val="00A644F2"/>
    <w:rsid w:val="00A87FCD"/>
    <w:rsid w:val="00A922DD"/>
    <w:rsid w:val="00B235CA"/>
    <w:rsid w:val="00B46AAA"/>
    <w:rsid w:val="00B61EAD"/>
    <w:rsid w:val="00B63909"/>
    <w:rsid w:val="00B65403"/>
    <w:rsid w:val="00B74B7A"/>
    <w:rsid w:val="00B77F98"/>
    <w:rsid w:val="00B839CE"/>
    <w:rsid w:val="00B96CF9"/>
    <w:rsid w:val="00BC6F92"/>
    <w:rsid w:val="00BD752F"/>
    <w:rsid w:val="00C203A4"/>
    <w:rsid w:val="00C218BC"/>
    <w:rsid w:val="00C30770"/>
    <w:rsid w:val="00C31BF0"/>
    <w:rsid w:val="00C33060"/>
    <w:rsid w:val="00C50474"/>
    <w:rsid w:val="00C517E9"/>
    <w:rsid w:val="00C64F53"/>
    <w:rsid w:val="00C67264"/>
    <w:rsid w:val="00C72DE1"/>
    <w:rsid w:val="00C751E8"/>
    <w:rsid w:val="00C810AB"/>
    <w:rsid w:val="00CA0F24"/>
    <w:rsid w:val="00CA2B7C"/>
    <w:rsid w:val="00CD26C6"/>
    <w:rsid w:val="00D22A66"/>
    <w:rsid w:val="00D45D86"/>
    <w:rsid w:val="00D77E6A"/>
    <w:rsid w:val="00D95CA8"/>
    <w:rsid w:val="00DC6856"/>
    <w:rsid w:val="00DE296E"/>
    <w:rsid w:val="00DE4F10"/>
    <w:rsid w:val="00E12509"/>
    <w:rsid w:val="00E1331F"/>
    <w:rsid w:val="00E135AA"/>
    <w:rsid w:val="00E318F5"/>
    <w:rsid w:val="00E34488"/>
    <w:rsid w:val="00E82E0F"/>
    <w:rsid w:val="00E86898"/>
    <w:rsid w:val="00E90635"/>
    <w:rsid w:val="00EB4577"/>
    <w:rsid w:val="00ED58FB"/>
    <w:rsid w:val="00EF54FD"/>
    <w:rsid w:val="00F06B26"/>
    <w:rsid w:val="00F130B5"/>
    <w:rsid w:val="00F27427"/>
    <w:rsid w:val="00F31EAB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ormhint">
    <w:name w:val="xform_hint"/>
    <w:basedOn w:val="a0"/>
    <w:uiPriority w:val="99"/>
    <w:rsid w:val="00C203A4"/>
    <w:rPr>
      <w:rFonts w:ascii="Times New Roman" w:hAnsi="Times New Roman" w:cs="Times New Roman" w:hint="default"/>
    </w:rPr>
  </w:style>
  <w:style w:type="paragraph" w:styleId="a3">
    <w:name w:val="footnote text"/>
    <w:basedOn w:val="a"/>
    <w:link w:val="a4"/>
    <w:uiPriority w:val="99"/>
    <w:unhideWhenUsed/>
    <w:rsid w:val="00C218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218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18BC"/>
    <w:rPr>
      <w:vertAlign w:val="superscript"/>
    </w:rPr>
  </w:style>
  <w:style w:type="character" w:styleId="a6">
    <w:name w:val="Hyperlink"/>
    <w:basedOn w:val="a0"/>
    <w:uiPriority w:val="99"/>
    <w:unhideWhenUsed/>
    <w:rsid w:val="00291C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06225"/>
    <w:pPr>
      <w:ind w:left="720"/>
      <w:contextualSpacing/>
    </w:pPr>
  </w:style>
  <w:style w:type="paragraph" w:customStyle="1" w:styleId="Default">
    <w:name w:val="Default"/>
    <w:rsid w:val="005930A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12B4C"/>
    <w:rPr>
      <w:b/>
      <w:bCs/>
    </w:rPr>
  </w:style>
  <w:style w:type="table" w:styleId="a9">
    <w:name w:val="Table Grid"/>
    <w:basedOn w:val="a1"/>
    <w:uiPriority w:val="39"/>
    <w:rsid w:val="00B8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ormhint">
    <w:name w:val="xform_hint"/>
    <w:basedOn w:val="a0"/>
    <w:uiPriority w:val="99"/>
    <w:rsid w:val="00C203A4"/>
    <w:rPr>
      <w:rFonts w:ascii="Times New Roman" w:hAnsi="Times New Roman" w:cs="Times New Roman" w:hint="default"/>
    </w:rPr>
  </w:style>
  <w:style w:type="paragraph" w:styleId="a3">
    <w:name w:val="footnote text"/>
    <w:basedOn w:val="a"/>
    <w:link w:val="a4"/>
    <w:uiPriority w:val="99"/>
    <w:unhideWhenUsed/>
    <w:rsid w:val="00C218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218B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18BC"/>
    <w:rPr>
      <w:vertAlign w:val="superscript"/>
    </w:rPr>
  </w:style>
  <w:style w:type="character" w:styleId="a6">
    <w:name w:val="Hyperlink"/>
    <w:basedOn w:val="a0"/>
    <w:uiPriority w:val="99"/>
    <w:unhideWhenUsed/>
    <w:rsid w:val="00291C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C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606225"/>
    <w:pPr>
      <w:ind w:left="720"/>
      <w:contextualSpacing/>
    </w:pPr>
  </w:style>
  <w:style w:type="paragraph" w:customStyle="1" w:styleId="Default">
    <w:name w:val="Default"/>
    <w:rsid w:val="005930A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12B4C"/>
    <w:rPr>
      <w:b/>
      <w:bCs/>
    </w:rPr>
  </w:style>
  <w:style w:type="table" w:styleId="a9">
    <w:name w:val="Table Grid"/>
    <w:basedOn w:val="a1"/>
    <w:uiPriority w:val="39"/>
    <w:rsid w:val="00B8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ell\--%20&#1053;&#1072;&#1076;&#1103;\&#1053;&#1072;&#1076;&#1103;.&#1087;&#1077;&#1088;&#1077;&#1077;&#1079;&#1076;\&#1042;&#1057;&#1090;&#1072;&#1090;&#1100;&#1080;\&#1050;&#1086;&#1085;&#1092;&#1077;&#1088;&#1077;&#1085;&#1094;&#1080;&#1080;\&#1050;&#1072;&#1079;&#1072;&#1085;&#1100;\&#1045;&#1040;&#1069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ell\--%20&#1053;&#1072;&#1076;&#1103;\&#1053;&#1072;&#1076;&#1103;.&#1087;&#1077;&#1088;&#1077;&#1077;&#1079;&#1076;\&#1042;&#1057;&#1090;&#1072;&#1090;&#1100;&#1080;\&#1050;&#1086;&#1085;&#1092;&#1077;&#1088;&#1077;&#1085;&#1094;&#1080;&#1080;\&#1050;&#1072;&#1079;&#1072;&#1085;&#1100;\&#1045;&#1040;&#1069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[ЕАЭС.xlsx]Депозиты_Капитализация!$A$16</c:f>
              <c:strCache>
                <c:ptCount val="1"/>
                <c:pt idx="0">
                  <c:v>РФ (Депозиты)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[ЕАЭС.xlsx]Депозиты_Капитализация!$B$15:$Z$15</c:f>
              <c:strCache>
                <c:ptCount val="25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</c:strCache>
            </c:strRef>
          </c:cat>
          <c:val>
            <c:numRef>
              <c:f>[ЕАЭС.xlsx]Депозиты_Капитализация!$B$16:$Z$16</c:f>
              <c:numCache>
                <c:formatCode>General</c:formatCode>
                <c:ptCount val="25"/>
                <c:pt idx="1">
                  <c:v>8.2852599999999992</c:v>
                </c:pt>
                <c:pt idx="2">
                  <c:v>9.2915200000000002</c:v>
                </c:pt>
                <c:pt idx="3">
                  <c:v>11.1258</c:v>
                </c:pt>
                <c:pt idx="4">
                  <c:v>11.4823</c:v>
                </c:pt>
                <c:pt idx="5">
                  <c:v>12.5161</c:v>
                </c:pt>
                <c:pt idx="6">
                  <c:v>13.534599999999999</c:v>
                </c:pt>
                <c:pt idx="7">
                  <c:v>12.444100000000001</c:v>
                </c:pt>
                <c:pt idx="8">
                  <c:v>13.3163</c:v>
                </c:pt>
                <c:pt idx="9">
                  <c:v>14.1028</c:v>
                </c:pt>
                <c:pt idx="10">
                  <c:v>15.5747</c:v>
                </c:pt>
                <c:pt idx="11">
                  <c:v>17.2316</c:v>
                </c:pt>
                <c:pt idx="12">
                  <c:v>17.769600000000001</c:v>
                </c:pt>
                <c:pt idx="13">
                  <c:v>19.3658</c:v>
                </c:pt>
                <c:pt idx="14">
                  <c:v>21.747599999999998</c:v>
                </c:pt>
                <c:pt idx="15">
                  <c:v>24.728300000000001</c:v>
                </c:pt>
                <c:pt idx="16">
                  <c:v>25.944099999999999</c:v>
                </c:pt>
                <c:pt idx="17">
                  <c:v>33.172199999999997</c:v>
                </c:pt>
                <c:pt idx="18">
                  <c:v>33.707999999999998</c:v>
                </c:pt>
                <c:pt idx="19">
                  <c:v>34.651600000000002</c:v>
                </c:pt>
                <c:pt idx="20">
                  <c:v>35.576900000000002</c:v>
                </c:pt>
                <c:pt idx="21">
                  <c:v>38.365900000000003</c:v>
                </c:pt>
                <c:pt idx="22">
                  <c:v>41.340600000000002</c:v>
                </c:pt>
                <c:pt idx="23">
                  <c:v>48.658299999999997</c:v>
                </c:pt>
                <c:pt idx="24">
                  <c:v>50.414900000000003</c:v>
                </c:pt>
              </c:numCache>
            </c:numRef>
          </c:val>
        </c:ser>
        <c:ser>
          <c:idx val="1"/>
          <c:order val="1"/>
          <c:tx>
            <c:strRef>
              <c:f>[ЕАЭС.xlsx]Депозиты_Капитализация!$A$17</c:f>
              <c:strCache>
                <c:ptCount val="1"/>
                <c:pt idx="0">
                  <c:v>РФ (Капитализация)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[ЕАЭС.xlsx]Депозиты_Капитализация!$B$15:$Z$15</c:f>
              <c:strCache>
                <c:ptCount val="25"/>
                <c:pt idx="0">
                  <c:v>1992</c:v>
                </c:pt>
                <c:pt idx="1">
                  <c:v>1993</c:v>
                </c:pt>
                <c:pt idx="2">
                  <c:v>1994</c:v>
                </c:pt>
                <c:pt idx="3">
                  <c:v>1995</c:v>
                </c:pt>
                <c:pt idx="4">
                  <c:v>1996</c:v>
                </c:pt>
                <c:pt idx="5">
                  <c:v>1997</c:v>
                </c:pt>
                <c:pt idx="6">
                  <c:v>1998</c:v>
                </c:pt>
                <c:pt idx="7">
                  <c:v>1999</c:v>
                </c:pt>
                <c:pt idx="8">
                  <c:v>2000</c:v>
                </c:pt>
                <c:pt idx="9">
                  <c:v>2001</c:v>
                </c:pt>
                <c:pt idx="10">
                  <c:v>2002</c:v>
                </c:pt>
                <c:pt idx="11">
                  <c:v>2003</c:v>
                </c:pt>
                <c:pt idx="12">
                  <c:v>2004</c:v>
                </c:pt>
                <c:pt idx="13">
                  <c:v>2005</c:v>
                </c:pt>
                <c:pt idx="14">
                  <c:v>2006</c:v>
                </c:pt>
                <c:pt idx="15">
                  <c:v>2007</c:v>
                </c:pt>
                <c:pt idx="16">
                  <c:v>2008</c:v>
                </c:pt>
                <c:pt idx="17">
                  <c:v>2009</c:v>
                </c:pt>
                <c:pt idx="18">
                  <c:v>2010</c:v>
                </c:pt>
                <c:pt idx="19">
                  <c:v>2011</c:v>
                </c:pt>
                <c:pt idx="20">
                  <c:v>2012</c:v>
                </c:pt>
                <c:pt idx="21">
                  <c:v>2013</c:v>
                </c:pt>
                <c:pt idx="22">
                  <c:v>2014</c:v>
                </c:pt>
                <c:pt idx="23">
                  <c:v>2015</c:v>
                </c:pt>
                <c:pt idx="24">
                  <c:v>2016</c:v>
                </c:pt>
              </c:strCache>
            </c:strRef>
          </c:cat>
          <c:val>
            <c:numRef>
              <c:f>[ЕАЭС.xlsx]Депозиты_Капитализация!$B$17:$Z$17</c:f>
              <c:numCache>
                <c:formatCode>General</c:formatCode>
                <c:ptCount val="25"/>
                <c:pt idx="1">
                  <c:v>1.2441000000000001E-2</c:v>
                </c:pt>
                <c:pt idx="2">
                  <c:v>1.2600999999999999E-2</c:v>
                </c:pt>
                <c:pt idx="3">
                  <c:v>1.56657</c:v>
                </c:pt>
                <c:pt idx="4">
                  <c:v>6.0918200000000002</c:v>
                </c:pt>
                <c:pt idx="5">
                  <c:v>19.7439</c:v>
                </c:pt>
                <c:pt idx="6">
                  <c:v>20.0185</c:v>
                </c:pt>
                <c:pt idx="7">
                  <c:v>19.422699999999999</c:v>
                </c:pt>
                <c:pt idx="8">
                  <c:v>20.306100000000001</c:v>
                </c:pt>
                <c:pt idx="9">
                  <c:v>18.509599999999999</c:v>
                </c:pt>
                <c:pt idx="10">
                  <c:v>28.215199999999999</c:v>
                </c:pt>
                <c:pt idx="11">
                  <c:v>41.617899999999999</c:v>
                </c:pt>
                <c:pt idx="12">
                  <c:v>43.7746</c:v>
                </c:pt>
                <c:pt idx="13">
                  <c:v>53.971400000000003</c:v>
                </c:pt>
                <c:pt idx="14">
                  <c:v>82.662800000000004</c:v>
                </c:pt>
                <c:pt idx="15">
                  <c:v>100.831</c:v>
                </c:pt>
                <c:pt idx="16">
                  <c:v>61.901200000000003</c:v>
                </c:pt>
                <c:pt idx="17">
                  <c:v>61.155099999999997</c:v>
                </c:pt>
                <c:pt idx="18">
                  <c:v>57.454500000000003</c:v>
                </c:pt>
                <c:pt idx="19">
                  <c:v>43.871200000000002</c:v>
                </c:pt>
                <c:pt idx="20">
                  <c:v>35.6267</c:v>
                </c:pt>
                <c:pt idx="21">
                  <c:v>34.393900000000002</c:v>
                </c:pt>
                <c:pt idx="22">
                  <c:v>25.094200000000001</c:v>
                </c:pt>
                <c:pt idx="23">
                  <c:v>23.55</c:v>
                </c:pt>
                <c:pt idx="24">
                  <c:v>38.111199999999997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906176"/>
        <c:axId val="111993216"/>
      </c:barChart>
      <c:catAx>
        <c:axId val="10990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1993216"/>
        <c:crosses val="autoZero"/>
        <c:auto val="1"/>
        <c:lblAlgn val="ctr"/>
        <c:lblOffset val="100"/>
        <c:noMultiLvlLbl val="0"/>
      </c:catAx>
      <c:valAx>
        <c:axId val="111993216"/>
        <c:scaling>
          <c:orientation val="minMax"/>
          <c:max val="10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90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'[ЕАЭС.xlsx]5 банков'!$A$2</c:f>
              <c:strCache>
                <c:ptCount val="1"/>
                <c:pt idx="0">
                  <c:v>РА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cat>
            <c:strRef>
              <c:f>'[ЕАЭС.xlsx]5 банков'!$Q$1:$V$1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'[ЕАЭС.xlsx]5 банков'!$Q$2:$V$2</c:f>
              <c:numCache>
                <c:formatCode>General</c:formatCode>
                <c:ptCount val="6"/>
                <c:pt idx="0">
                  <c:v>58.967199999999998</c:v>
                </c:pt>
                <c:pt idx="1">
                  <c:v>58.115900000000003</c:v>
                </c:pt>
                <c:pt idx="2">
                  <c:v>62.214799999999997</c:v>
                </c:pt>
                <c:pt idx="3">
                  <c:v>63.730200000000004</c:v>
                </c:pt>
                <c:pt idx="4">
                  <c:v>66.290099999999995</c:v>
                </c:pt>
                <c:pt idx="5">
                  <c:v>70.102000000000004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'[ЕАЭС.xlsx]5 банков'!$A$3</c:f>
              <c:strCache>
                <c:ptCount val="1"/>
                <c:pt idx="0">
                  <c:v>РБ</c:v>
                </c:pt>
              </c:strCache>
            </c:strRef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cat>
            <c:strRef>
              <c:f>'[ЕАЭС.xlsx]5 банков'!$Q$1:$V$1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'[ЕАЭС.xlsx]5 банков'!$Q$3:$V$3</c:f>
              <c:numCache>
                <c:formatCode>General</c:formatCode>
                <c:ptCount val="6"/>
                <c:pt idx="0">
                  <c:v>76.390299999999996</c:v>
                </c:pt>
                <c:pt idx="1">
                  <c:v>76.918899999999994</c:v>
                </c:pt>
                <c:pt idx="2">
                  <c:v>75.977400000000003</c:v>
                </c:pt>
                <c:pt idx="3">
                  <c:v>77.199200000000005</c:v>
                </c:pt>
                <c:pt idx="4">
                  <c:v>80.6113</c:v>
                </c:pt>
                <c:pt idx="5">
                  <c:v>79.802499999999995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'[ЕАЭС.xlsx]5 банков'!$A$4</c:f>
              <c:strCache>
                <c:ptCount val="1"/>
                <c:pt idx="0">
                  <c:v>РК</c:v>
                </c:pt>
              </c:strCache>
            </c:strRef>
          </c:tx>
          <c:spPr>
            <a:ln w="28575" cap="rnd">
              <a:solidFill>
                <a:schemeClr val="dk1">
                  <a:tint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cat>
            <c:strRef>
              <c:f>'[ЕАЭС.xlsx]5 банков'!$Q$1:$V$1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'[ЕАЭС.xlsx]5 банков'!$Q$4:$V$4</c:f>
              <c:numCache>
                <c:formatCode>General</c:formatCode>
                <c:ptCount val="6"/>
                <c:pt idx="0">
                  <c:v>65.885000000000005</c:v>
                </c:pt>
                <c:pt idx="1">
                  <c:v>60.502499999999998</c:v>
                </c:pt>
                <c:pt idx="2">
                  <c:v>58.137799999999999</c:v>
                </c:pt>
                <c:pt idx="3">
                  <c:v>57.871600000000001</c:v>
                </c:pt>
                <c:pt idx="4">
                  <c:v>59.117899999999999</c:v>
                </c:pt>
                <c:pt idx="5">
                  <c:v>56.790599999999998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'[ЕАЭС.xlsx]5 банков'!$A$5</c:f>
              <c:strCache>
                <c:ptCount val="1"/>
                <c:pt idx="0">
                  <c:v>КР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cat>
            <c:strRef>
              <c:f>'[ЕАЭС.xlsx]5 банков'!$Q$1:$V$1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'[ЕАЭС.xlsx]5 банков'!$Q$5:$V$5</c:f>
              <c:numCache>
                <c:formatCode>General</c:formatCode>
                <c:ptCount val="6"/>
                <c:pt idx="0">
                  <c:v>96.910399999999996</c:v>
                </c:pt>
                <c:pt idx="1">
                  <c:v>88.924899999999994</c:v>
                </c:pt>
                <c:pt idx="2">
                  <c:v>88.619500000000002</c:v>
                </c:pt>
                <c:pt idx="3">
                  <c:v>88.334299999999999</c:v>
                </c:pt>
                <c:pt idx="4">
                  <c:v>73.773099999999999</c:v>
                </c:pt>
                <c:pt idx="5">
                  <c:v>72.839600000000004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'[ЕАЭС.xlsx]5 банков'!$A$6</c:f>
              <c:strCache>
                <c:ptCount val="1"/>
                <c:pt idx="0">
                  <c:v>РФ</c:v>
                </c:pt>
              </c:strCache>
            </c:strRef>
          </c:tx>
          <c:spPr>
            <a:ln w="28575" cap="rnd">
              <a:solidFill>
                <a:schemeClr val="dk1">
                  <a:tint val="3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30000"/>
                </a:schemeClr>
              </a:solidFill>
              <a:ln w="9525">
                <a:solidFill>
                  <a:schemeClr val="dk1">
                    <a:tint val="30000"/>
                  </a:schemeClr>
                </a:solidFill>
              </a:ln>
              <a:effectLst/>
            </c:spPr>
          </c:marker>
          <c:cat>
            <c:strRef>
              <c:f>'[ЕАЭС.xlsx]5 банков'!$Q$1:$V$1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'[ЕАЭС.xlsx]5 банков'!$Q$6:$V$6</c:f>
              <c:numCache>
                <c:formatCode>General</c:formatCode>
                <c:ptCount val="6"/>
                <c:pt idx="0">
                  <c:v>35.4955</c:v>
                </c:pt>
                <c:pt idx="1">
                  <c:v>38.740099999999998</c:v>
                </c:pt>
                <c:pt idx="2">
                  <c:v>38.057499999999997</c:v>
                </c:pt>
                <c:pt idx="3">
                  <c:v>41.685699999999997</c:v>
                </c:pt>
                <c:pt idx="4">
                  <c:v>55.253599999999999</c:v>
                </c:pt>
                <c:pt idx="5">
                  <c:v>54.798000000000002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41600"/>
        <c:axId val="114460160"/>
      </c:lineChart>
      <c:catAx>
        <c:axId val="114441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60160"/>
        <c:crosses val="autoZero"/>
        <c:auto val="1"/>
        <c:lblAlgn val="ctr"/>
        <c:lblOffset val="100"/>
        <c:noMultiLvlLbl val="0"/>
      </c:catAx>
      <c:valAx>
        <c:axId val="1144601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41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67A8-5422-4E1A-B6B3-B4C8C1C2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Asus</cp:lastModifiedBy>
  <cp:revision>2</cp:revision>
  <dcterms:created xsi:type="dcterms:W3CDTF">2019-05-30T15:54:00Z</dcterms:created>
  <dcterms:modified xsi:type="dcterms:W3CDTF">2019-05-30T15:54:00Z</dcterms:modified>
</cp:coreProperties>
</file>